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723AF"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A723AF" w:rsidRDefault="000A03B2" w:rsidP="00DE264A">
            <w:pPr>
              <w:tabs>
                <w:tab w:val="left" w:pos="-108"/>
              </w:tabs>
              <w:ind w:left="-108"/>
              <w:jc w:val="left"/>
              <w:rPr>
                <w:rFonts w:cs="Arial"/>
                <w:b/>
                <w:bCs/>
                <w:i/>
                <w:iCs/>
                <w:color w:val="000066"/>
                <w:sz w:val="12"/>
                <w:szCs w:val="12"/>
                <w:lang w:eastAsia="it-IT"/>
              </w:rPr>
            </w:pPr>
            <w:bookmarkStart w:id="0" w:name="_Hlk145068772"/>
            <w:r w:rsidRPr="00A723AF">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723AF">
              <w:rPr>
                <w:rFonts w:ascii="AdvP6960" w:hAnsi="AdvP6960" w:cs="AdvP6960"/>
                <w:color w:val="241F20"/>
                <w:szCs w:val="18"/>
                <w:lang w:eastAsia="it-IT"/>
              </w:rPr>
              <w:t xml:space="preserve"> </w:t>
            </w:r>
            <w:r w:rsidRPr="00A723AF">
              <w:rPr>
                <w:rFonts w:cs="Arial"/>
                <w:b/>
                <w:bCs/>
                <w:i/>
                <w:iCs/>
                <w:color w:val="000066"/>
                <w:sz w:val="24"/>
                <w:szCs w:val="24"/>
                <w:lang w:eastAsia="it-IT"/>
              </w:rPr>
              <w:t>CHEMICAL ENGINEERING</w:t>
            </w:r>
            <w:r w:rsidRPr="00A723AF">
              <w:rPr>
                <w:rFonts w:cs="Arial"/>
                <w:b/>
                <w:bCs/>
                <w:i/>
                <w:iCs/>
                <w:color w:val="0033FF"/>
                <w:sz w:val="24"/>
                <w:szCs w:val="24"/>
                <w:lang w:eastAsia="it-IT"/>
              </w:rPr>
              <w:t xml:space="preserve"> </w:t>
            </w:r>
            <w:r w:rsidRPr="00A723AF">
              <w:rPr>
                <w:rFonts w:cs="Arial"/>
                <w:b/>
                <w:bCs/>
                <w:i/>
                <w:iCs/>
                <w:color w:val="666666"/>
                <w:sz w:val="24"/>
                <w:szCs w:val="24"/>
                <w:lang w:eastAsia="it-IT"/>
              </w:rPr>
              <w:t>TRANSACTIONS</w:t>
            </w:r>
            <w:r w:rsidRPr="00A723AF">
              <w:rPr>
                <w:color w:val="333333"/>
                <w:sz w:val="24"/>
                <w:szCs w:val="24"/>
                <w:lang w:eastAsia="it-IT"/>
              </w:rPr>
              <w:t xml:space="preserve"> </w:t>
            </w:r>
            <w:r w:rsidRPr="00A723AF">
              <w:rPr>
                <w:rFonts w:cs="Arial"/>
                <w:b/>
                <w:bCs/>
                <w:i/>
                <w:iCs/>
                <w:color w:val="000066"/>
                <w:sz w:val="27"/>
                <w:szCs w:val="27"/>
                <w:lang w:eastAsia="it-IT"/>
              </w:rPr>
              <w:br/>
            </w:r>
          </w:p>
          <w:p w14:paraId="4B780582" w14:textId="753620B8" w:rsidR="000A03B2" w:rsidRPr="00A723AF" w:rsidRDefault="00A76EFC" w:rsidP="001D21AF">
            <w:pPr>
              <w:tabs>
                <w:tab w:val="left" w:pos="-108"/>
              </w:tabs>
              <w:ind w:left="-108"/>
              <w:rPr>
                <w:rFonts w:cs="Arial"/>
                <w:b/>
                <w:bCs/>
                <w:i/>
                <w:iCs/>
                <w:color w:val="000066"/>
                <w:sz w:val="22"/>
                <w:szCs w:val="22"/>
                <w:lang w:eastAsia="it-IT"/>
              </w:rPr>
            </w:pPr>
            <w:r w:rsidRPr="00A723AF">
              <w:rPr>
                <w:rFonts w:cs="Arial"/>
                <w:b/>
                <w:bCs/>
                <w:i/>
                <w:iCs/>
                <w:color w:val="000066"/>
                <w:sz w:val="22"/>
                <w:szCs w:val="22"/>
                <w:lang w:eastAsia="it-IT"/>
              </w:rPr>
              <w:t>VOL.</w:t>
            </w:r>
            <w:r w:rsidR="00785BF9" w:rsidRPr="00A723AF">
              <w:rPr>
                <w:rFonts w:cs="Arial"/>
                <w:b/>
                <w:bCs/>
                <w:i/>
                <w:iCs/>
                <w:color w:val="000066"/>
                <w:sz w:val="22"/>
                <w:szCs w:val="22"/>
                <w:lang w:eastAsia="it-IT"/>
              </w:rPr>
              <w:t xml:space="preserve"> </w:t>
            </w:r>
            <w:r w:rsidR="00AD0278" w:rsidRPr="00A723AF">
              <w:rPr>
                <w:rFonts w:cs="Arial"/>
                <w:b/>
                <w:bCs/>
                <w:i/>
                <w:iCs/>
                <w:color w:val="000066"/>
                <w:sz w:val="22"/>
                <w:szCs w:val="22"/>
                <w:lang w:eastAsia="it-IT"/>
              </w:rPr>
              <w:t>xxx</w:t>
            </w:r>
            <w:r w:rsidR="007B48F9" w:rsidRPr="00A723AF">
              <w:rPr>
                <w:rFonts w:cs="Arial"/>
                <w:b/>
                <w:bCs/>
                <w:i/>
                <w:iCs/>
                <w:color w:val="000066"/>
                <w:sz w:val="22"/>
                <w:szCs w:val="22"/>
                <w:lang w:eastAsia="it-IT"/>
              </w:rPr>
              <w:t>,</w:t>
            </w:r>
            <w:r w:rsidR="00FA5F5F" w:rsidRPr="00A723AF">
              <w:rPr>
                <w:rFonts w:cs="Arial"/>
                <w:b/>
                <w:bCs/>
                <w:i/>
                <w:iCs/>
                <w:color w:val="000066"/>
                <w:sz w:val="22"/>
                <w:szCs w:val="22"/>
                <w:lang w:eastAsia="it-IT"/>
              </w:rPr>
              <w:t xml:space="preserve"> </w:t>
            </w:r>
            <w:r w:rsidR="0030152C" w:rsidRPr="00A723AF">
              <w:rPr>
                <w:rFonts w:cs="Arial"/>
                <w:b/>
                <w:bCs/>
                <w:i/>
                <w:iCs/>
                <w:color w:val="000066"/>
                <w:sz w:val="22"/>
                <w:szCs w:val="22"/>
                <w:lang w:eastAsia="it-IT"/>
              </w:rPr>
              <w:t>202</w:t>
            </w:r>
            <w:r w:rsidR="00AD0278" w:rsidRPr="00A723AF">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A723AF" w:rsidRDefault="000A03B2" w:rsidP="00CD5FE2">
            <w:pPr>
              <w:spacing w:line="140" w:lineRule="atLeast"/>
              <w:jc w:val="right"/>
              <w:rPr>
                <w:rFonts w:cs="Arial"/>
                <w:sz w:val="14"/>
                <w:szCs w:val="14"/>
              </w:rPr>
            </w:pPr>
            <w:r w:rsidRPr="00A723AF">
              <w:rPr>
                <w:rFonts w:cs="Arial"/>
                <w:sz w:val="14"/>
                <w:szCs w:val="14"/>
              </w:rPr>
              <w:t>A publication of</w:t>
            </w:r>
          </w:p>
          <w:p w14:paraId="599E5441" w14:textId="77777777" w:rsidR="000A03B2" w:rsidRPr="00A723AF" w:rsidRDefault="000A03B2" w:rsidP="00CD5FE2">
            <w:pPr>
              <w:jc w:val="right"/>
            </w:pPr>
            <w:r w:rsidRPr="00A723AF">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723AF" w14:paraId="380FA3CD" w14:textId="77777777" w:rsidTr="00DE264A">
        <w:trPr>
          <w:trHeight w:val="567"/>
          <w:jc w:val="center"/>
        </w:trPr>
        <w:tc>
          <w:tcPr>
            <w:tcW w:w="6946" w:type="dxa"/>
            <w:vMerge/>
            <w:tcBorders>
              <w:right w:val="single" w:sz="4" w:space="0" w:color="auto"/>
            </w:tcBorders>
          </w:tcPr>
          <w:p w14:paraId="39E5E4C1" w14:textId="77777777" w:rsidR="000A03B2" w:rsidRPr="00A723AF"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A723AF" w:rsidRDefault="000A03B2" w:rsidP="00CD5FE2">
            <w:pPr>
              <w:spacing w:line="140" w:lineRule="atLeast"/>
              <w:jc w:val="right"/>
              <w:rPr>
                <w:rFonts w:cs="Arial"/>
                <w:sz w:val="14"/>
                <w:szCs w:val="14"/>
              </w:rPr>
            </w:pPr>
            <w:r w:rsidRPr="00A723AF">
              <w:rPr>
                <w:rFonts w:cs="Arial"/>
                <w:sz w:val="14"/>
                <w:szCs w:val="14"/>
              </w:rPr>
              <w:t>The Italian Association</w:t>
            </w:r>
          </w:p>
          <w:p w14:paraId="7522B1D2" w14:textId="77777777" w:rsidR="000A03B2" w:rsidRPr="00A723AF" w:rsidRDefault="000A03B2" w:rsidP="00CD5FE2">
            <w:pPr>
              <w:spacing w:line="140" w:lineRule="atLeast"/>
              <w:jc w:val="right"/>
              <w:rPr>
                <w:rFonts w:cs="Arial"/>
                <w:sz w:val="14"/>
                <w:szCs w:val="14"/>
              </w:rPr>
            </w:pPr>
            <w:r w:rsidRPr="00A723AF">
              <w:rPr>
                <w:rFonts w:cs="Arial"/>
                <w:sz w:val="14"/>
                <w:szCs w:val="14"/>
              </w:rPr>
              <w:t>of Chemical Engineering</w:t>
            </w:r>
          </w:p>
          <w:p w14:paraId="4F0CC5DE" w14:textId="47FDB2FC" w:rsidR="000A03B2" w:rsidRPr="00A723AF" w:rsidRDefault="000D0268" w:rsidP="00CD5FE2">
            <w:pPr>
              <w:spacing w:line="140" w:lineRule="atLeast"/>
              <w:jc w:val="right"/>
              <w:rPr>
                <w:rFonts w:cs="Arial"/>
                <w:sz w:val="13"/>
                <w:szCs w:val="13"/>
              </w:rPr>
            </w:pPr>
            <w:r w:rsidRPr="00A723AF">
              <w:rPr>
                <w:rFonts w:cs="Arial"/>
                <w:sz w:val="13"/>
                <w:szCs w:val="13"/>
              </w:rPr>
              <w:t>Online at www.cetjournal.it</w:t>
            </w:r>
          </w:p>
        </w:tc>
      </w:tr>
      <w:tr w:rsidR="000A03B2" w:rsidRPr="00A723AF" w14:paraId="2D1B7169" w14:textId="77777777" w:rsidTr="00DE264A">
        <w:trPr>
          <w:trHeight w:val="68"/>
          <w:jc w:val="center"/>
        </w:trPr>
        <w:tc>
          <w:tcPr>
            <w:tcW w:w="8789" w:type="dxa"/>
            <w:gridSpan w:val="2"/>
          </w:tcPr>
          <w:p w14:paraId="1D8DD3C9" w14:textId="61229B97" w:rsidR="00AA7D26" w:rsidRPr="00A723AF" w:rsidRDefault="004A5E57" w:rsidP="004A5E57">
            <w:pPr>
              <w:ind w:left="-107"/>
              <w:outlineLvl w:val="2"/>
              <w:rPr>
                <w:rFonts w:ascii="Tahoma" w:hAnsi="Tahoma" w:cs="Tahoma"/>
                <w:bCs/>
                <w:color w:val="000000"/>
                <w:sz w:val="14"/>
                <w:szCs w:val="14"/>
                <w:lang w:val="it-IT" w:eastAsia="it-IT"/>
              </w:rPr>
            </w:pPr>
            <w:r w:rsidRPr="00A723AF">
              <w:rPr>
                <w:rFonts w:ascii="Tahoma" w:hAnsi="Tahoma" w:cs="Tahoma"/>
                <w:iCs/>
                <w:color w:val="333333"/>
                <w:sz w:val="14"/>
                <w:szCs w:val="14"/>
                <w:lang w:val="it-IT" w:eastAsia="it-IT"/>
              </w:rPr>
              <w:t>Guest Editors:</w:t>
            </w:r>
            <w:r w:rsidRPr="00A723AF">
              <w:rPr>
                <w:rFonts w:ascii="Tahoma" w:hAnsi="Tahoma" w:cs="Tahoma"/>
                <w:color w:val="000000"/>
                <w:sz w:val="14"/>
                <w:szCs w:val="14"/>
                <w:shd w:val="clear" w:color="auto" w:fill="FFFFFF"/>
                <w:lang w:val="it-IT"/>
              </w:rPr>
              <w:t xml:space="preserve"> </w:t>
            </w:r>
            <w:r w:rsidR="00EA3EF9" w:rsidRPr="00A723AF">
              <w:rPr>
                <w:rFonts w:ascii="Tahoma" w:hAnsi="Tahoma" w:cs="Tahoma"/>
                <w:color w:val="000000"/>
                <w:sz w:val="14"/>
                <w:szCs w:val="14"/>
                <w:shd w:val="clear" w:color="auto" w:fill="FFFFFF"/>
                <w:lang w:val="it-IT"/>
              </w:rPr>
              <w:t xml:space="preserve">Leonardo Tognotti, </w:t>
            </w:r>
            <w:r w:rsidR="00EA3EF9" w:rsidRPr="00A723AF">
              <w:rPr>
                <w:rFonts w:ascii="Tahoma" w:hAnsi="Tahoma" w:cs="Tahoma"/>
                <w:color w:val="000000"/>
                <w:sz w:val="14"/>
                <w:szCs w:val="14"/>
                <w:lang w:val="it-IT"/>
              </w:rPr>
              <w:t>Rubens Maciel Filho</w:t>
            </w:r>
            <w:r w:rsidR="00EA3EF9" w:rsidRPr="00A723AF">
              <w:rPr>
                <w:rFonts w:ascii="Tahoma" w:hAnsi="Tahoma" w:cs="Tahoma"/>
                <w:color w:val="000000"/>
                <w:sz w:val="14"/>
                <w:szCs w:val="14"/>
                <w:shd w:val="clear" w:color="auto" w:fill="FFFFFF"/>
                <w:lang w:val="it-IT"/>
              </w:rPr>
              <w:t xml:space="preserve">, </w:t>
            </w:r>
            <w:r w:rsidR="00EA3EF9" w:rsidRPr="00A723AF">
              <w:rPr>
                <w:rFonts w:ascii="Tahoma" w:hAnsi="Tahoma" w:cs="Tahoma"/>
                <w:color w:val="000000"/>
                <w:sz w:val="14"/>
                <w:szCs w:val="14"/>
                <w:lang w:val="it-IT"/>
              </w:rPr>
              <w:t>Viatcheslav Kafarov</w:t>
            </w:r>
          </w:p>
          <w:p w14:paraId="1B0F1814" w14:textId="710B7B96" w:rsidR="000A03B2" w:rsidRPr="00A723AF" w:rsidRDefault="00AA7D26" w:rsidP="00AA7D26">
            <w:pPr>
              <w:tabs>
                <w:tab w:val="left" w:pos="-108"/>
              </w:tabs>
              <w:spacing w:line="140" w:lineRule="atLeast"/>
              <w:ind w:left="-107"/>
              <w:jc w:val="left"/>
            </w:pPr>
            <w:r w:rsidRPr="00A723AF">
              <w:rPr>
                <w:rFonts w:ascii="Tahoma" w:hAnsi="Tahoma" w:cs="Tahoma"/>
                <w:iCs/>
                <w:color w:val="333333"/>
                <w:sz w:val="14"/>
                <w:szCs w:val="14"/>
                <w:lang w:eastAsia="it-IT"/>
              </w:rPr>
              <w:t>Copyright © 202</w:t>
            </w:r>
            <w:r w:rsidR="00005884" w:rsidRPr="00A723AF">
              <w:rPr>
                <w:rFonts w:ascii="Tahoma" w:hAnsi="Tahoma" w:cs="Tahoma"/>
                <w:iCs/>
                <w:color w:val="333333"/>
                <w:sz w:val="14"/>
                <w:szCs w:val="14"/>
                <w:lang w:eastAsia="it-IT"/>
              </w:rPr>
              <w:t>6</w:t>
            </w:r>
            <w:r w:rsidRPr="00A723AF">
              <w:rPr>
                <w:rFonts w:ascii="Tahoma" w:hAnsi="Tahoma" w:cs="Tahoma"/>
                <w:iCs/>
                <w:color w:val="333333"/>
                <w:sz w:val="14"/>
                <w:szCs w:val="14"/>
                <w:lang w:eastAsia="it-IT"/>
              </w:rPr>
              <w:t>, AIDIC Servizi S.r.l.</w:t>
            </w:r>
            <w:r w:rsidRPr="00A723AF">
              <w:rPr>
                <w:rFonts w:ascii="Tahoma" w:hAnsi="Tahoma" w:cs="Tahoma"/>
                <w:iCs/>
                <w:color w:val="333333"/>
                <w:sz w:val="14"/>
                <w:szCs w:val="14"/>
                <w:lang w:eastAsia="it-IT"/>
              </w:rPr>
              <w:br/>
            </w:r>
            <w:r w:rsidRPr="00A723AF">
              <w:rPr>
                <w:rFonts w:ascii="Tahoma" w:hAnsi="Tahoma" w:cs="Tahoma"/>
                <w:b/>
                <w:iCs/>
                <w:color w:val="000000"/>
                <w:sz w:val="14"/>
                <w:szCs w:val="14"/>
                <w:lang w:eastAsia="it-IT"/>
              </w:rPr>
              <w:t>ISBN</w:t>
            </w:r>
            <w:r w:rsidRPr="00A723AF">
              <w:rPr>
                <w:rFonts w:ascii="Tahoma" w:hAnsi="Tahoma" w:cs="Tahoma"/>
                <w:iCs/>
                <w:color w:val="000000"/>
                <w:sz w:val="14"/>
                <w:szCs w:val="14"/>
                <w:lang w:eastAsia="it-IT"/>
              </w:rPr>
              <w:t xml:space="preserve"> </w:t>
            </w:r>
            <w:r w:rsidR="00D2582C" w:rsidRPr="00A723AF">
              <w:rPr>
                <w:rFonts w:ascii="Tahoma" w:hAnsi="Tahoma" w:cs="Tahoma"/>
                <w:sz w:val="14"/>
                <w:szCs w:val="14"/>
              </w:rPr>
              <w:t>979-12-81206-</w:t>
            </w:r>
            <w:r w:rsidR="00005884" w:rsidRPr="00A723AF">
              <w:rPr>
                <w:rFonts w:ascii="Tahoma" w:hAnsi="Tahoma" w:cs="Tahoma"/>
                <w:sz w:val="14"/>
                <w:szCs w:val="14"/>
              </w:rPr>
              <w:t>xx</w:t>
            </w:r>
            <w:r w:rsidR="009041F8" w:rsidRPr="00A723AF">
              <w:rPr>
                <w:rFonts w:ascii="Tahoma" w:hAnsi="Tahoma" w:cs="Tahoma"/>
                <w:sz w:val="14"/>
                <w:szCs w:val="14"/>
              </w:rPr>
              <w:t>-</w:t>
            </w:r>
            <w:r w:rsidR="00005884" w:rsidRPr="00A723AF">
              <w:rPr>
                <w:rFonts w:ascii="Tahoma" w:hAnsi="Tahoma" w:cs="Tahoma"/>
                <w:sz w:val="14"/>
                <w:szCs w:val="14"/>
              </w:rPr>
              <w:t>x</w:t>
            </w:r>
            <w:r w:rsidRPr="00A723AF">
              <w:rPr>
                <w:rFonts w:ascii="Tahoma" w:hAnsi="Tahoma" w:cs="Tahoma"/>
                <w:iCs/>
                <w:color w:val="333333"/>
                <w:sz w:val="14"/>
                <w:szCs w:val="14"/>
                <w:lang w:eastAsia="it-IT"/>
              </w:rPr>
              <w:t xml:space="preserve">; </w:t>
            </w:r>
            <w:r w:rsidRPr="00A723AF">
              <w:rPr>
                <w:rFonts w:ascii="Tahoma" w:hAnsi="Tahoma" w:cs="Tahoma"/>
                <w:b/>
                <w:iCs/>
                <w:color w:val="333333"/>
                <w:sz w:val="14"/>
                <w:szCs w:val="14"/>
                <w:lang w:eastAsia="it-IT"/>
              </w:rPr>
              <w:t>ISSN</w:t>
            </w:r>
            <w:r w:rsidRPr="00A723AF">
              <w:rPr>
                <w:rFonts w:ascii="Tahoma" w:hAnsi="Tahoma" w:cs="Tahoma"/>
                <w:iCs/>
                <w:color w:val="333333"/>
                <w:sz w:val="14"/>
                <w:szCs w:val="14"/>
                <w:lang w:eastAsia="it-IT"/>
              </w:rPr>
              <w:t xml:space="preserve"> 2283-9216</w:t>
            </w:r>
          </w:p>
        </w:tc>
      </w:tr>
    </w:tbl>
    <w:bookmarkEnd w:id="0"/>
    <w:p w14:paraId="2E667253" w14:textId="28F8C9DE" w:rsidR="00E978D0" w:rsidRPr="00A723AF" w:rsidRDefault="009D5FD6" w:rsidP="00E978D0">
      <w:pPr>
        <w:pStyle w:val="CETTitle"/>
      </w:pPr>
      <w:r w:rsidRPr="00A723AF">
        <w:t>Recovery of Potassium and Phosphorus from Digested Sludge Ash via Selective Multi-Step Leaching</w:t>
      </w:r>
    </w:p>
    <w:p w14:paraId="08745F77" w14:textId="629DDA8A" w:rsidR="009D5FD6" w:rsidRPr="00A723AF" w:rsidRDefault="009D5FD6" w:rsidP="009D5FD6">
      <w:pPr>
        <w:pStyle w:val="CETAuthors"/>
        <w:rPr>
          <w:lang w:val="en-US"/>
        </w:rPr>
      </w:pPr>
      <w:r w:rsidRPr="00A723AF">
        <w:rPr>
          <w:lang w:val="en-US"/>
        </w:rPr>
        <w:t>Domenico Rosa</w:t>
      </w:r>
      <w:r w:rsidR="00B57E6F" w:rsidRPr="00A723AF">
        <w:rPr>
          <w:lang w:val="en-US"/>
        </w:rPr>
        <w:t xml:space="preserve">*, </w:t>
      </w:r>
      <w:r w:rsidRPr="00A723AF">
        <w:rPr>
          <w:lang w:val="en-US"/>
        </w:rPr>
        <w:t>Martina Fazi</w:t>
      </w:r>
    </w:p>
    <w:p w14:paraId="6B2D21B3" w14:textId="657CF99F" w:rsidR="00B57E6F" w:rsidRPr="00A723AF" w:rsidRDefault="009D5FD6" w:rsidP="009D5FD6">
      <w:pPr>
        <w:pStyle w:val="CETAuthors"/>
        <w:rPr>
          <w:sz w:val="16"/>
        </w:rPr>
      </w:pPr>
      <w:r w:rsidRPr="00A723AF">
        <w:rPr>
          <w:sz w:val="16"/>
        </w:rPr>
        <w:t>Department of Chemical Engineering Materials Environment, Sapienza-University of Rome, Via Eudossiana 18, 00184, Rome, Italy</w:t>
      </w:r>
    </w:p>
    <w:p w14:paraId="73F1267A" w14:textId="6520FF8C" w:rsidR="00B57E6F" w:rsidRPr="00A723AF" w:rsidRDefault="009D5FD6" w:rsidP="00B57E6F">
      <w:pPr>
        <w:pStyle w:val="CETemail"/>
        <w:rPr>
          <w:lang w:val="fr-FR"/>
        </w:rPr>
      </w:pPr>
      <w:r w:rsidRPr="00A723AF">
        <w:rPr>
          <w:lang w:val="fr-FR"/>
        </w:rPr>
        <w:t>domenico</w:t>
      </w:r>
      <w:r w:rsidR="00B57E6F" w:rsidRPr="00A723AF">
        <w:rPr>
          <w:lang w:val="fr-FR"/>
        </w:rPr>
        <w:t>.</w:t>
      </w:r>
      <w:r w:rsidRPr="00A723AF">
        <w:rPr>
          <w:lang w:val="fr-FR"/>
        </w:rPr>
        <w:t>rosa</w:t>
      </w:r>
      <w:r w:rsidR="00B57E6F" w:rsidRPr="00A723AF">
        <w:rPr>
          <w:lang w:val="fr-FR"/>
        </w:rPr>
        <w:t>@</w:t>
      </w:r>
      <w:r w:rsidRPr="00A723AF">
        <w:rPr>
          <w:lang w:val="fr-FR"/>
        </w:rPr>
        <w:t>uniroma1.it</w:t>
      </w:r>
    </w:p>
    <w:p w14:paraId="0AD21984" w14:textId="7DD786BA" w:rsidR="009D5FD6" w:rsidRPr="00A723AF" w:rsidRDefault="009D5FD6" w:rsidP="009D5FD6">
      <w:pPr>
        <w:rPr>
          <w:lang w:val="en-US"/>
        </w:rPr>
      </w:pPr>
      <w:r w:rsidRPr="00A723AF">
        <w:rPr>
          <w:lang w:val="en-US"/>
        </w:rPr>
        <w:t xml:space="preserve">Digested sludge represents a waste biomass derived from anaerobic digestion processes that require proper management due to its harmful pathogen content. The most </w:t>
      </w:r>
      <w:r w:rsidR="001E06E0" w:rsidRPr="00A723AF">
        <w:rPr>
          <w:lang w:val="en-US"/>
        </w:rPr>
        <w:t>common management</w:t>
      </w:r>
      <w:r w:rsidRPr="00A723AF">
        <w:rPr>
          <w:lang w:val="en-US"/>
        </w:rPr>
        <w:t xml:space="preserve"> route is incineration, which allows a reduction in volume. Within a circular economy framework, the valorization of these sludges is essential, considering that they are a suitable source of potassium (K) and phosphorus (P), essential macronutrients for agriculture.</w:t>
      </w:r>
    </w:p>
    <w:p w14:paraId="392997FF" w14:textId="77777777" w:rsidR="009D5FD6" w:rsidRPr="00A723AF" w:rsidRDefault="009D5FD6" w:rsidP="009D5FD6">
      <w:pPr>
        <w:rPr>
          <w:lang w:val="en-US"/>
        </w:rPr>
      </w:pPr>
      <w:r w:rsidRPr="00A723AF">
        <w:rPr>
          <w:lang w:val="en-US"/>
        </w:rPr>
        <w:t>In this study, a process for P and K recovery was developed based on a multi-step leaching approach applied to ash produced from co-combustion with NaCl. The ash was characterized to assess compositional variations induced by NaCl addition. The first selective leaching step was performed to extract K, followed by a second leaching step targeting P recovery. Different leaching systems based on H</w:t>
      </w:r>
      <w:r w:rsidRPr="00A723AF">
        <w:rPr>
          <w:vertAlign w:val="subscript"/>
          <w:lang w:val="en-US"/>
        </w:rPr>
        <w:t>2</w:t>
      </w:r>
      <w:r w:rsidRPr="00A723AF">
        <w:rPr>
          <w:lang w:val="en-US"/>
        </w:rPr>
        <w:t>SO</w:t>
      </w:r>
      <w:r w:rsidRPr="00A723AF">
        <w:rPr>
          <w:vertAlign w:val="subscript"/>
          <w:lang w:val="en-US"/>
        </w:rPr>
        <w:t>4</w:t>
      </w:r>
      <w:r w:rsidRPr="00A723AF">
        <w:rPr>
          <w:lang w:val="en-US"/>
        </w:rPr>
        <w:t>/citric acid mixtures were investigated. After optimization of the leaching conditions, an EDTA-assisted precipitation step was applied for P recovery.</w:t>
      </w:r>
    </w:p>
    <w:p w14:paraId="6893AF25" w14:textId="761124D8" w:rsidR="00600535" w:rsidRPr="00A723AF" w:rsidRDefault="009D5FD6" w:rsidP="003F2C8D">
      <w:pPr>
        <w:rPr>
          <w:lang w:val="en-US"/>
        </w:rPr>
      </w:pPr>
      <w:r w:rsidRPr="00A723AF">
        <w:rPr>
          <w:lang w:val="en-US"/>
        </w:rPr>
        <w:t xml:space="preserve">NaCl addition promoted heavy metal volatilization and enhanced P extraction. Water-based leaching </w:t>
      </w:r>
      <w:r w:rsidR="001E06E0" w:rsidRPr="00A723AF">
        <w:rPr>
          <w:lang w:val="en-US"/>
        </w:rPr>
        <w:t>was</w:t>
      </w:r>
      <w:r w:rsidRPr="00A723AF">
        <w:rPr>
          <w:lang w:val="en-US"/>
        </w:rPr>
        <w:t xml:space="preserve"> selective for K, whereas the use of H</w:t>
      </w:r>
      <w:r w:rsidRPr="00A723AF">
        <w:rPr>
          <w:vertAlign w:val="subscript"/>
          <w:lang w:val="en-US"/>
        </w:rPr>
        <w:t>2</w:t>
      </w:r>
      <w:r w:rsidRPr="00A723AF">
        <w:rPr>
          <w:lang w:val="en-US"/>
        </w:rPr>
        <w:t>SO</w:t>
      </w:r>
      <w:r w:rsidRPr="00A723AF">
        <w:rPr>
          <w:vertAlign w:val="subscript"/>
          <w:lang w:val="en-US"/>
        </w:rPr>
        <w:t>4</w:t>
      </w:r>
      <w:r w:rsidRPr="00A723AF">
        <w:rPr>
          <w:lang w:val="en-US"/>
        </w:rPr>
        <w:t xml:space="preserve"> combined with citric acid was detrimental due to the co-extraction of heavy metals. The EDTA-assisted precipitation step limited heavy metal co-precipitation, yielding a P-based product compliant with the EU Regulation 2019/1009.</w:t>
      </w:r>
    </w:p>
    <w:p w14:paraId="476B2F2E" w14:textId="77777777" w:rsidR="00600535" w:rsidRPr="00A723AF" w:rsidRDefault="00600535" w:rsidP="00600535">
      <w:pPr>
        <w:pStyle w:val="CETHeading1"/>
        <w:rPr>
          <w:lang w:val="en-GB"/>
        </w:rPr>
      </w:pPr>
      <w:r w:rsidRPr="00A723AF">
        <w:rPr>
          <w:lang w:val="en-GB"/>
        </w:rPr>
        <w:t>Introduction</w:t>
      </w:r>
    </w:p>
    <w:p w14:paraId="6D1AF0B2" w14:textId="118A1C52" w:rsidR="003B0D49" w:rsidRPr="00A723AF" w:rsidRDefault="00FC213F" w:rsidP="003B0D49">
      <w:pPr>
        <w:pStyle w:val="CETBodytext"/>
        <w:rPr>
          <w:lang w:val="en-GB"/>
        </w:rPr>
      </w:pPr>
      <w:r w:rsidRPr="00A723AF">
        <w:rPr>
          <w:lang w:val="en-GB"/>
        </w:rPr>
        <w:t xml:space="preserve">Phosphorus (P) is an essential agricultural resource and a critical raw material for the European Union (EU) due to the high risk associated with its supply chain, which requires the development of alternative and sustainable recovery strategies. Among the different sources, digested sludge can be considered a suitable P source, as the ash produced by its combustion is generally rich in </w:t>
      </w:r>
      <w:r w:rsidR="00402BD7" w:rsidRPr="00A723AF">
        <w:rPr>
          <w:lang w:val="en-GB"/>
        </w:rPr>
        <w:t>P</w:t>
      </w:r>
      <w:r w:rsidR="0040613B" w:rsidRPr="00A723AF">
        <w:rPr>
          <w:lang w:val="en-GB"/>
        </w:rPr>
        <w:t xml:space="preserve"> </w:t>
      </w:r>
      <w:sdt>
        <w:sdtPr>
          <w:rPr>
            <w:rFonts w:cs="Arial"/>
            <w:color w:val="000000"/>
            <w:lang w:val="en-GB"/>
          </w:rPr>
          <w:tag w:val="MENDELEY_CITATION_v3_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"/>
          <w:id w:val="-78144990"/>
          <w:placeholder>
            <w:docPart w:val="DefaultPlaceholder_-1854013440"/>
          </w:placeholder>
        </w:sdtPr>
        <w:sdtContent>
          <w:r w:rsidR="007A2EFD" w:rsidRPr="007A2EFD">
            <w:rPr>
              <w:rFonts w:cs="Arial"/>
              <w:color w:val="000000"/>
              <w:lang w:val="en-GB"/>
            </w:rPr>
            <w:t>(Volpe et al., 2020)</w:t>
          </w:r>
        </w:sdtContent>
      </w:sdt>
      <w:r w:rsidRPr="00A723AF">
        <w:rPr>
          <w:lang w:val="en-GB"/>
        </w:rPr>
        <w:t xml:space="preserve">. Coupling P recovery with a waste valorization process could represent a valid alternative to conventional approaches; however, several issues still limit this strategy. </w:t>
      </w:r>
      <w:r w:rsidR="00B312AC" w:rsidRPr="00A723AF">
        <w:rPr>
          <w:lang w:val="en-GB"/>
        </w:rPr>
        <w:t>Sludge</w:t>
      </w:r>
      <w:r w:rsidRPr="00A723AF">
        <w:rPr>
          <w:lang w:val="en-GB"/>
        </w:rPr>
        <w:t xml:space="preserve"> ash is often rich in heavy metals (HMs), such as Ni, Pb, Cd, Zn, and Cu, which can compromise P recovery due to concentrations exceeding the threshold limits </w:t>
      </w:r>
      <w:r w:rsidR="002A2967" w:rsidRPr="00A723AF">
        <w:rPr>
          <w:lang w:val="en-GB"/>
        </w:rPr>
        <w:t>for agricultural use.</w:t>
      </w:r>
    </w:p>
    <w:p w14:paraId="791726BC" w14:textId="23FC9DB3" w:rsidR="003B0D49" w:rsidRPr="00A723AF" w:rsidRDefault="003B0D49" w:rsidP="003B0D49">
      <w:pPr>
        <w:pStyle w:val="CETBodytext"/>
        <w:rPr>
          <w:lang w:val="en-GB"/>
        </w:rPr>
      </w:pPr>
      <w:r w:rsidRPr="00A723AF">
        <w:rPr>
          <w:lang w:val="en-GB"/>
        </w:rPr>
        <w:t>Several authors have attempted to recover P from this type of biomass, often failing due to the excessive HM content in the final product</w:t>
      </w:r>
      <w:r w:rsidR="00402BD7" w:rsidRPr="00A723AF">
        <w:rPr>
          <w:lang w:val="en-GB"/>
        </w:rPr>
        <w:t xml:space="preserve"> </w:t>
      </w:r>
      <w:sdt>
        <w:sdtPr>
          <w:rPr>
            <w:rFonts w:cs="Arial"/>
            <w:color w:val="000000"/>
            <w:lang w:val="en-GB"/>
          </w:rPr>
          <w:tag w:val="MENDELEY_CITATION_v3_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"/>
          <w:id w:val="2108313113"/>
          <w:placeholder>
            <w:docPart w:val="DefaultPlaceholder_-1854013440"/>
          </w:placeholder>
        </w:sdtPr>
        <w:sdtContent>
          <w:r w:rsidR="007A2EFD" w:rsidRPr="007A2EFD">
            <w:rPr>
              <w:rFonts w:cs="Arial"/>
              <w:color w:val="000000"/>
              <w:lang w:val="en-GB"/>
            </w:rPr>
            <w:t>(Boniardi et al., 2021)</w:t>
          </w:r>
        </w:sdtContent>
      </w:sdt>
      <w:r w:rsidRPr="00A723AF">
        <w:rPr>
          <w:lang w:val="en-GB"/>
        </w:rPr>
        <w:t xml:space="preserve">, as they did not consider the </w:t>
      </w:r>
      <w:proofErr w:type="gramStart"/>
      <w:r w:rsidRPr="00A723AF">
        <w:rPr>
          <w:lang w:val="en-GB"/>
        </w:rPr>
        <w:t>system as a whole</w:t>
      </w:r>
      <w:proofErr w:type="gramEnd"/>
      <w:r w:rsidRPr="00A723AF">
        <w:rPr>
          <w:lang w:val="en-GB"/>
        </w:rPr>
        <w:t>. Indeed, given the strict limits, each step of the process must be properly optimized in relation to the subsequent steps, as they are strongly interconnected. For example, the incineration temperature is of crucial importance since it determines P speciation: as temperature increases, the conversion of phosphorus from non-apatitic (NAIP), mainly associated with Al and Fe and difficult to leach in acid, to apatite (AIP), associated with Ca and Mg and more easily soluble in acidic conditions, is enhanced.</w:t>
      </w:r>
    </w:p>
    <w:p w14:paraId="2DC95304" w14:textId="2184C6BB" w:rsidR="003B0D49" w:rsidRPr="00A723AF" w:rsidRDefault="003B0D49" w:rsidP="003B0D49">
      <w:pPr>
        <w:pStyle w:val="CETBodytext"/>
        <w:rPr>
          <w:lang w:val="en-GB"/>
        </w:rPr>
      </w:pPr>
      <w:r w:rsidRPr="00A723AF">
        <w:rPr>
          <w:lang w:val="en-GB"/>
        </w:rPr>
        <w:t xml:space="preserve">Therefore, this study developed a process for secondary biomass valorization (such as digested sludge), enabling the recovery of key agricultural macronutrients, including potassium (K) and P. A multi-step leaching process applied to digested sludge ash (combusted at 850 </w:t>
      </w:r>
      <w:r w:rsidR="00402BD7" w:rsidRPr="00A723AF">
        <w:rPr>
          <w:lang w:val="en-GB"/>
        </w:rPr>
        <w:t>°</w:t>
      </w:r>
      <w:r w:rsidRPr="00A723AF">
        <w:rPr>
          <w:lang w:val="en-GB"/>
        </w:rPr>
        <w:t>C, considered by many as the optimal temperature</w:t>
      </w:r>
      <w:r w:rsidR="00402BD7" w:rsidRPr="00A723AF">
        <w:rPr>
          <w:lang w:val="en-GB"/>
        </w:rPr>
        <w:t xml:space="preserve"> </w:t>
      </w:r>
      <w:sdt>
        <w:sdtPr>
          <w:rPr>
            <w:rFonts w:cs="Arial"/>
            <w:color w:val="000000"/>
            <w:lang w:val="en-GB"/>
          </w:rPr>
          <w:tag w:val="MENDELEY_CITATION_v3_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"/>
          <w:id w:val="1237973957"/>
          <w:placeholder>
            <w:docPart w:val="DefaultPlaceholder_-1854013440"/>
          </w:placeholder>
        </w:sdtPr>
        <w:sdtContent>
          <w:r w:rsidR="007A2EFD" w:rsidRPr="007A2EFD">
            <w:rPr>
              <w:rFonts w:cs="Arial"/>
              <w:color w:val="000000"/>
              <w:lang w:val="en-GB"/>
            </w:rPr>
            <w:t>(Luyckx and Van Caneghem, 2021)</w:t>
          </w:r>
        </w:sdtContent>
      </w:sdt>
      <w:r w:rsidRPr="00A723AF">
        <w:rPr>
          <w:lang w:val="en-GB"/>
        </w:rPr>
        <w:t xml:space="preserve">, since higher temperatures may lead to P volatilization, and co-combusted with NaCl, able to increase AIP solubility and improve HM volatilization), followed by EDTA-assisted chemical </w:t>
      </w:r>
      <w:r w:rsidRPr="00A723AF">
        <w:rPr>
          <w:lang w:val="en-GB"/>
        </w:rPr>
        <w:lastRenderedPageBreak/>
        <w:t>precipitation, was proposed. This approach successfully produces a P-based fertilizer that complies with EU Regulation 2019/1009.</w:t>
      </w:r>
    </w:p>
    <w:p w14:paraId="5741900F" w14:textId="3284BE74" w:rsidR="00453E24" w:rsidRPr="00A723AF" w:rsidRDefault="00AC3032" w:rsidP="00453E24">
      <w:pPr>
        <w:pStyle w:val="CETHeading1"/>
      </w:pPr>
      <w:r w:rsidRPr="00A723AF">
        <w:t xml:space="preserve">Materials and </w:t>
      </w:r>
      <w:r w:rsidR="00FC213F" w:rsidRPr="00A723AF">
        <w:t>M</w:t>
      </w:r>
      <w:r w:rsidRPr="00A723AF">
        <w:t>ethods</w:t>
      </w:r>
    </w:p>
    <w:p w14:paraId="654840B7" w14:textId="72D2E49F" w:rsidR="002D0181" w:rsidRPr="00A723AF" w:rsidRDefault="002D0181" w:rsidP="002D0181">
      <w:pPr>
        <w:pStyle w:val="CETBodytext"/>
      </w:pPr>
      <w:r w:rsidRPr="00A723AF">
        <w:t>Digested sludge derived from a livestock farm was collected downstream of a filter-press unit designed to separate coarse fibrous fractions and reduce moisture content (up to 90%).</w:t>
      </w:r>
    </w:p>
    <w:p w14:paraId="131E06AD" w14:textId="512D6CBB" w:rsidR="002D0181" w:rsidRPr="00A723AF" w:rsidRDefault="002D0181" w:rsidP="00B0624C">
      <w:pPr>
        <w:pStyle w:val="CETBodytext"/>
      </w:pPr>
      <w:r w:rsidRPr="00A723AF">
        <w:t>The digested sludge was dried in an oven and ground using a mortar</w:t>
      </w:r>
      <w:r w:rsidR="001E06E0" w:rsidRPr="00A723AF">
        <w:t xml:space="preserve"> and pestle</w:t>
      </w:r>
      <w:r w:rsidRPr="00A723AF">
        <w:t xml:space="preserve">, then either left untreated or amended with 6 wt% NaCl </w:t>
      </w:r>
      <w:r w:rsidR="00B0624C">
        <w:t xml:space="preserve">(99%, Riedel-de Haën) </w:t>
      </w:r>
      <w:r w:rsidRPr="00A723AF">
        <w:t>and incinerated in a muffle furnace at 850 °C for 1 h under static atmosphere. The resulting ashes were labeled “blank” and “6%NaCl”, respectively.</w:t>
      </w:r>
    </w:p>
    <w:p w14:paraId="5B6931BF" w14:textId="42EA42C6" w:rsidR="002D0181" w:rsidRPr="00A723AF" w:rsidRDefault="002D0181" w:rsidP="002D0181">
      <w:pPr>
        <w:pStyle w:val="CETBodytext"/>
      </w:pPr>
      <w:r w:rsidRPr="00A723AF">
        <w:t xml:space="preserve">A first leaching step was performed by treating the ashes with demineralized water (23 µS/cm) at different liquid-to-solid ratios (L/S) between 5 and </w:t>
      </w:r>
      <w:r w:rsidR="006826DB">
        <w:t>100</w:t>
      </w:r>
      <w:r w:rsidRPr="00A723AF">
        <w:t xml:space="preserve"> mL/g in separate batch experiments, for 1 h under continuous stirring at 500 rpm. The aim was to </w:t>
      </w:r>
      <w:proofErr w:type="gramStart"/>
      <w:r w:rsidRPr="00A723AF">
        <w:t>leach</w:t>
      </w:r>
      <w:proofErr w:type="gramEnd"/>
      <w:r w:rsidRPr="00A723AF">
        <w:t xml:space="preserve"> highly soluble potassium species (</w:t>
      </w:r>
      <w:r w:rsidR="00140F67" w:rsidRPr="00A723AF">
        <w:t>K</w:t>
      </w:r>
      <w:r w:rsidR="00140F67" w:rsidRPr="00A723AF">
        <w:rPr>
          <w:vertAlign w:val="superscript"/>
        </w:rPr>
        <w:t>+</w:t>
      </w:r>
      <w:r w:rsidRPr="00A723AF">
        <w:t>). The ashes were then filtered to separate the aqueous leachate, and the treated ash was dried and weighed.</w:t>
      </w:r>
    </w:p>
    <w:p w14:paraId="1E87EBC2" w14:textId="1FBC7035" w:rsidR="002D0181" w:rsidRPr="00A723AF" w:rsidRDefault="002D0181" w:rsidP="002D0181">
      <w:pPr>
        <w:pStyle w:val="CETBodytext"/>
      </w:pPr>
      <w:r w:rsidRPr="00A723AF">
        <w:t xml:space="preserve">A second leaching step, targeting P extraction, was carried out using 1 M </w:t>
      </w:r>
      <w:r w:rsidR="00140F67" w:rsidRPr="00A723AF">
        <w:t>H</w:t>
      </w:r>
      <w:r w:rsidR="00140F67" w:rsidRPr="00A723AF">
        <w:rPr>
          <w:vertAlign w:val="subscript"/>
        </w:rPr>
        <w:t>2</w:t>
      </w:r>
      <w:r w:rsidRPr="00A723AF">
        <w:t>S</w:t>
      </w:r>
      <w:r w:rsidR="00140F67" w:rsidRPr="00A723AF">
        <w:t>O</w:t>
      </w:r>
      <w:r w:rsidR="00140F67" w:rsidRPr="00A723AF">
        <w:rPr>
          <w:vertAlign w:val="subscript"/>
        </w:rPr>
        <w:t>4</w:t>
      </w:r>
      <w:r w:rsidRPr="00A723AF">
        <w:t xml:space="preserve"> </w:t>
      </w:r>
      <w:r w:rsidR="00B0624C">
        <w:t xml:space="preserve">(98%, Carlo Erba) </w:t>
      </w:r>
      <w:r w:rsidRPr="00A723AF">
        <w:t xml:space="preserve">at L/S = 10, combined with different </w:t>
      </w:r>
      <w:r w:rsidR="00B0624C">
        <w:t>citric acid (Carlo Erba) dosages (0-1.76 g/L) in separate batch experiments to facilitate</w:t>
      </w:r>
      <w:r w:rsidRPr="00A723AF">
        <w:t xml:space="preserve"> acid leaching. The mixture was stirred for 1 h at 500 rpm. The leachate was then separated from the spent ash by filtration (2</w:t>
      </w:r>
      <w:r w:rsidRPr="00A723AF">
        <w:rPr>
          <w:rFonts w:cs="Arial"/>
        </w:rPr>
        <w:t>-</w:t>
      </w:r>
      <w:r w:rsidRPr="00A723AF">
        <w:t xml:space="preserve">3 </w:t>
      </w:r>
      <w:r w:rsidRPr="00A723AF">
        <w:rPr>
          <w:rFonts w:cs="Arial"/>
        </w:rPr>
        <w:t>µ</w:t>
      </w:r>
      <w:r w:rsidRPr="00A723AF">
        <w:t>m cellulose filter).</w:t>
      </w:r>
    </w:p>
    <w:p w14:paraId="5350F09F" w14:textId="525CA670" w:rsidR="002D0181" w:rsidRPr="00A723AF" w:rsidRDefault="002D0181" w:rsidP="003D2357">
      <w:pPr>
        <w:pStyle w:val="CETBodytext"/>
      </w:pPr>
      <w:r w:rsidRPr="00A723AF">
        <w:t xml:space="preserve">For the precipitation step, EDTA </w:t>
      </w:r>
      <w:r w:rsidR="00B0624C">
        <w:t>(</w:t>
      </w:r>
      <w:r w:rsidR="00B0624C" w:rsidRPr="00B0624C">
        <w:t>C</w:t>
      </w:r>
      <w:r w:rsidR="00B0624C" w:rsidRPr="00B0624C">
        <w:rPr>
          <w:vertAlign w:val="subscript"/>
        </w:rPr>
        <w:t>10</w:t>
      </w:r>
      <w:r w:rsidR="00B0624C" w:rsidRPr="00B0624C">
        <w:t>H</w:t>
      </w:r>
      <w:r w:rsidR="00B0624C" w:rsidRPr="00B0624C">
        <w:rPr>
          <w:vertAlign w:val="subscript"/>
        </w:rPr>
        <w:t>14</w:t>
      </w:r>
      <w:r w:rsidR="00B0624C" w:rsidRPr="00B0624C">
        <w:t>N</w:t>
      </w:r>
      <w:r w:rsidR="00B0624C" w:rsidRPr="00B0624C">
        <w:rPr>
          <w:vertAlign w:val="subscript"/>
        </w:rPr>
        <w:t>2</w:t>
      </w:r>
      <w:r w:rsidR="00B0624C" w:rsidRPr="00B0624C">
        <w:t>Na</w:t>
      </w:r>
      <w:r w:rsidR="00B0624C" w:rsidRPr="00B0624C">
        <w:rPr>
          <w:vertAlign w:val="subscript"/>
        </w:rPr>
        <w:t>2</w:t>
      </w:r>
      <w:r w:rsidR="00B0624C" w:rsidRPr="00B0624C">
        <w:t>O</w:t>
      </w:r>
      <w:r w:rsidR="00B0624C" w:rsidRPr="00B0624C">
        <w:rPr>
          <w:vertAlign w:val="subscript"/>
        </w:rPr>
        <w:t>8</w:t>
      </w:r>
      <w:r w:rsidR="00B0624C" w:rsidRPr="00B0624C">
        <w:t>∙2H</w:t>
      </w:r>
      <w:r w:rsidR="00B0624C" w:rsidRPr="00B0624C">
        <w:rPr>
          <w:vertAlign w:val="subscript"/>
        </w:rPr>
        <w:t>2</w:t>
      </w:r>
      <w:r w:rsidR="00B0624C" w:rsidRPr="00B0624C">
        <w:t>O, Carlo Erba</w:t>
      </w:r>
      <w:r w:rsidR="00B0624C">
        <w:t xml:space="preserve">) </w:t>
      </w:r>
      <w:r w:rsidRPr="00A723AF">
        <w:t>was first added to the leachate to reach a concentration of 0.8 g/L</w:t>
      </w:r>
      <w:r w:rsidR="003D2357">
        <w:t xml:space="preserve"> (based on</w:t>
      </w:r>
      <w:r w:rsidR="00B0624C">
        <w:t xml:space="preserve"> </w:t>
      </w:r>
      <w:r w:rsidR="003D2357">
        <w:t>preliminary optimization experiments)</w:t>
      </w:r>
      <w:r w:rsidRPr="00A723AF">
        <w:t xml:space="preserve">, followed by the addition of </w:t>
      </w:r>
      <w:proofErr w:type="gramStart"/>
      <w:r w:rsidRPr="00A723AF">
        <w:t>Ca(</w:t>
      </w:r>
      <w:proofErr w:type="gramEnd"/>
      <w:r w:rsidRPr="00A723AF">
        <w:t>OH</w:t>
      </w:r>
      <w:r w:rsidR="00140F67" w:rsidRPr="00A723AF">
        <w:t>)</w:t>
      </w:r>
      <w:r w:rsidR="00140F67" w:rsidRPr="00A723AF">
        <w:rPr>
          <w:vertAlign w:val="subscript"/>
        </w:rPr>
        <w:t>2</w:t>
      </w:r>
      <w:r w:rsidRPr="00A723AF">
        <w:t xml:space="preserve"> </w:t>
      </w:r>
      <w:r w:rsidR="00B0624C">
        <w:t xml:space="preserve">(99%, Carlo Erba) </w:t>
      </w:r>
      <w:r w:rsidRPr="00A723AF">
        <w:t xml:space="preserve">to obtain a Ca/P molar ratio of 2.0. A 6 M NaOH solution was then added dropwise to adjust the pH up to 10. The process was controlled based on molar ratios and pH. Precipitation was carried out at 30 </w:t>
      </w:r>
      <w:r w:rsidRPr="00A723AF">
        <w:rPr>
          <w:rFonts w:cs="Arial"/>
        </w:rPr>
        <w:t>°</w:t>
      </w:r>
      <w:r w:rsidRPr="00A723AF">
        <w:t>C for 24 h under continuous stirring (500 rpm).</w:t>
      </w:r>
    </w:p>
    <w:p w14:paraId="26625D4A" w14:textId="28E13109" w:rsidR="002D0181" w:rsidRPr="00A723AF" w:rsidRDefault="002D0181" w:rsidP="002D0181">
      <w:pPr>
        <w:pStyle w:val="CETBodytext"/>
      </w:pPr>
      <w:r w:rsidRPr="00A723AF">
        <w:t>The precipitate was filtered, washed, and dried to obtain the final product (P-based fertilizer).</w:t>
      </w:r>
    </w:p>
    <w:p w14:paraId="2308DAC8" w14:textId="543D598E" w:rsidR="002D0181" w:rsidRPr="00A723AF" w:rsidRDefault="002D0181" w:rsidP="002D0181">
      <w:pPr>
        <w:pStyle w:val="CETBodytext"/>
      </w:pPr>
      <w:r w:rsidRPr="00A723AF">
        <w:t xml:space="preserve">Blank, 6%NaCl, and the P-based fertilizer were characterized after acid digestion to determine HM, K, and P content. Aqua regia digestion (liquid-to-solid ratio 100 mL:1 g) was performed using a microwave-assisted system for 2 h. </w:t>
      </w:r>
      <w:r w:rsidR="00C77BFC" w:rsidRPr="00A723AF">
        <w:t>Scanning Electron Microscopy-Energy Dispersive X-ray Spectroscopy (</w:t>
      </w:r>
      <w:r w:rsidRPr="00A723AF">
        <w:t>SEM-EDS</w:t>
      </w:r>
      <w:r w:rsidR="00C77BFC" w:rsidRPr="00A723AF">
        <w:t>)</w:t>
      </w:r>
      <w:r w:rsidRPr="00A723AF">
        <w:t xml:space="preserve"> analyses were also carried out to evaluate elemental composition and morphology</w:t>
      </w:r>
      <w:r w:rsidR="00A17FC9" w:rsidRPr="00A723AF">
        <w:t>, as in a previous study</w:t>
      </w:r>
      <w:r w:rsidR="0040613B" w:rsidRPr="00A723AF">
        <w:t xml:space="preserve"> </w:t>
      </w:r>
      <w:sdt>
        <w:sdtPr>
          <w:rPr>
            <w:rFonts w:cs="Arial"/>
            <w:color w:val="000000"/>
          </w:rPr>
          <w:tag w:val="MENDELEY_CITATION_v3_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"/>
          <w:id w:val="-1221438025"/>
          <w:placeholder>
            <w:docPart w:val="DefaultPlaceholder_-1854013440"/>
          </w:placeholder>
        </w:sdtPr>
        <w:sdtContent>
          <w:r w:rsidR="007A2EFD" w:rsidRPr="007A2EFD">
            <w:rPr>
              <w:rFonts w:cs="Arial"/>
              <w:color w:val="000000"/>
            </w:rPr>
            <w:t>(Rosa et al., 2025)</w:t>
          </w:r>
        </w:sdtContent>
      </w:sdt>
      <w:r w:rsidR="00A17FC9" w:rsidRPr="00A723AF">
        <w:t>.</w:t>
      </w:r>
    </w:p>
    <w:p w14:paraId="69F8AAEF" w14:textId="2026EC50" w:rsidR="002D0181" w:rsidRPr="00A723AF" w:rsidRDefault="002D0181" w:rsidP="002D0181">
      <w:pPr>
        <w:pStyle w:val="CETBodytext"/>
      </w:pPr>
      <w:r w:rsidRPr="00A723AF">
        <w:t>HMs and K were quantified by atomic absorption spectroscopy (AAS) using an Agilent instrument, while dissolved P (as phosphate) was determined using the molybdenum blue method</w:t>
      </w:r>
      <w:r w:rsidR="00EF36FF" w:rsidRPr="00A723AF">
        <w:t xml:space="preserve"> </w:t>
      </w:r>
      <w:sdt>
        <w:sdtPr>
          <w:rPr>
            <w:rFonts w:cs="Arial"/>
            <w:color w:val="000000"/>
          </w:rPr>
          <w:tag w:val="MENDELEY_CITATION_v3_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"/>
          <w:id w:val="-1588835633"/>
          <w:placeholder>
            <w:docPart w:val="DefaultPlaceholder_-1854013440"/>
          </w:placeholder>
        </w:sdtPr>
        <w:sdtContent>
          <w:r w:rsidR="007A2EFD" w:rsidRPr="007A2EFD">
            <w:rPr>
              <w:rFonts w:cs="Arial"/>
              <w:color w:val="000000"/>
            </w:rPr>
            <w:t>(Murphy and Riley, 1958)</w:t>
          </w:r>
        </w:sdtContent>
      </w:sdt>
      <w:r w:rsidR="00097262" w:rsidRPr="00A723AF">
        <w:t xml:space="preserve"> </w:t>
      </w:r>
      <w:r w:rsidRPr="00A723AF">
        <w:t>with a PG Instruments T80+ UV/</w:t>
      </w:r>
      <w:proofErr w:type="gramStart"/>
      <w:r w:rsidRPr="00A723AF">
        <w:t>Vis</w:t>
      </w:r>
      <w:proofErr w:type="gramEnd"/>
      <w:r w:rsidRPr="00A723AF">
        <w:t xml:space="preserve"> spectrophotometer in all liquid streams produced during the process.</w:t>
      </w:r>
    </w:p>
    <w:p w14:paraId="7499044A" w14:textId="54DF931D" w:rsidR="002D0181" w:rsidRPr="00A723AF" w:rsidRDefault="00FC213F" w:rsidP="002D0181">
      <w:pPr>
        <w:pStyle w:val="CETHeading1"/>
      </w:pPr>
      <w:r w:rsidRPr="00A723AF">
        <w:t>Results and Discussion</w:t>
      </w:r>
    </w:p>
    <w:p w14:paraId="1F96CA21" w14:textId="728D556E" w:rsidR="00600535" w:rsidRPr="00A723AF" w:rsidRDefault="00FC213F" w:rsidP="00FA5F5F">
      <w:pPr>
        <w:pStyle w:val="CETheadingx"/>
      </w:pPr>
      <w:r w:rsidRPr="00A723AF">
        <w:t>Ash characterization</w:t>
      </w:r>
    </w:p>
    <w:p w14:paraId="7FD42486" w14:textId="445BBFB6" w:rsidR="00600535" w:rsidRPr="00A723AF" w:rsidRDefault="00660B6F" w:rsidP="00660B6F">
      <w:pPr>
        <w:pStyle w:val="CETBodytext"/>
        <w:rPr>
          <w:lang w:val="en-GB"/>
        </w:rPr>
      </w:pPr>
      <w:r w:rsidRPr="00A723AF">
        <w:rPr>
          <w:lang w:val="en-GB"/>
        </w:rPr>
        <w:t>Ash characterization results</w:t>
      </w:r>
      <w:r w:rsidR="00C77BFC" w:rsidRPr="00A723AF">
        <w:rPr>
          <w:lang w:val="en-GB"/>
        </w:rPr>
        <w:t xml:space="preserve"> </w:t>
      </w:r>
      <w:r w:rsidRPr="00A723AF">
        <w:rPr>
          <w:lang w:val="en-GB"/>
        </w:rPr>
        <w:t>are shown in Figure</w:t>
      </w:r>
      <w:r w:rsidR="00C77BFC" w:rsidRPr="00A723AF">
        <w:rPr>
          <w:lang w:val="en-GB"/>
        </w:rPr>
        <w:t xml:space="preserve"> 1.</w:t>
      </w:r>
    </w:p>
    <w:p w14:paraId="559E9A18" w14:textId="2A0BEDB7" w:rsidR="009E6297" w:rsidRPr="00A723AF" w:rsidRDefault="00660B6F" w:rsidP="009E6297">
      <w:pPr>
        <w:pStyle w:val="CETCaption"/>
      </w:pPr>
      <w:r w:rsidRPr="00A723AF">
        <w:rPr>
          <w:noProof/>
        </w:rPr>
        <mc:AlternateContent>
          <mc:Choice Requires="wps">
            <w:drawing>
              <wp:anchor distT="45720" distB="45720" distL="114300" distR="114300" simplePos="0" relativeHeight="251660288" behindDoc="0" locked="0" layoutInCell="1" allowOverlap="1" wp14:anchorId="6B7B71CC" wp14:editId="35E472B5">
                <wp:simplePos x="0" y="0"/>
                <wp:positionH relativeFrom="column">
                  <wp:posOffset>874769</wp:posOffset>
                </wp:positionH>
                <wp:positionV relativeFrom="paragraph">
                  <wp:posOffset>1847738</wp:posOffset>
                </wp:positionV>
                <wp:extent cx="568569" cy="1404620"/>
                <wp:effectExtent l="0" t="0" r="3175" b="254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69" cy="1404620"/>
                        </a:xfrm>
                        <a:prstGeom prst="rect">
                          <a:avLst/>
                        </a:prstGeom>
                        <a:solidFill>
                          <a:schemeClr val="bg1"/>
                        </a:solidFill>
                        <a:ln w="9525">
                          <a:noFill/>
                          <a:miter lim="800000"/>
                          <a:headEnd/>
                          <a:tailEnd/>
                        </a:ln>
                      </wps:spPr>
                      <wps:txbx>
                        <w:txbxContent>
                          <w:p w14:paraId="2FF0AA13" w14:textId="48FD7D0D" w:rsidR="00660B6F" w:rsidRPr="00660B6F" w:rsidRDefault="00660B6F">
                            <w:pPr>
                              <w:rPr>
                                <w:lang w:val="it-IT"/>
                              </w:rPr>
                            </w:pPr>
                            <w:r w:rsidRPr="00660B6F">
                              <w:t>P</w:t>
                            </w:r>
                            <w:r w:rsidRPr="00660B6F">
                              <w:rPr>
                                <w:vertAlign w:val="subscript"/>
                              </w:rPr>
                              <w:t>2</w:t>
                            </w:r>
                            <w:r w:rsidRPr="00660B6F">
                              <w:t>O</w:t>
                            </w:r>
                            <w:r w:rsidRPr="00660B6F">
                              <w:rPr>
                                <w:vertAlign w:val="subscript"/>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7B71CC" id="_x0000_t202" coordsize="21600,21600" o:spt="202" path="m,l,21600r21600,l21600,xe">
                <v:stroke joinstyle="miter"/>
                <v:path gradientshapeok="t" o:connecttype="rect"/>
              </v:shapetype>
              <v:shape id="Casella di testo 2" o:spid="_x0000_s1026" type="#_x0000_t202" style="position:absolute;left:0;text-align:left;margin-left:68.9pt;margin-top:145.5pt;width:44.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" fillcolor="white [3212]" stroked="f">
                <v:textbox style="mso-fit-shape-to-text:t">
                  <w:txbxContent>
                    <w:p w14:paraId="2FF0AA13" w14:textId="48FD7D0D" w:rsidR="00660B6F" w:rsidRPr="00660B6F" w:rsidRDefault="00660B6F">
                      <w:pPr>
                        <w:rPr>
                          <w:lang w:val="it-IT"/>
                        </w:rPr>
                      </w:pPr>
                      <w:r w:rsidRPr="00660B6F">
                        <w:t>P</w:t>
                      </w:r>
                      <w:r w:rsidRPr="00660B6F">
                        <w:rPr>
                          <w:vertAlign w:val="subscript"/>
                        </w:rPr>
                        <w:t>2</w:t>
                      </w:r>
                      <w:r w:rsidRPr="00660B6F">
                        <w:t>O</w:t>
                      </w:r>
                      <w:r w:rsidRPr="00660B6F">
                        <w:rPr>
                          <w:vertAlign w:val="subscript"/>
                        </w:rPr>
                        <w:t>5</w:t>
                      </w:r>
                    </w:p>
                  </w:txbxContent>
                </v:textbox>
              </v:shape>
            </w:pict>
          </mc:Fallback>
        </mc:AlternateContent>
      </w:r>
      <w:r w:rsidR="00232DE5" w:rsidRPr="00A723AF">
        <w:rPr>
          <w:noProof/>
        </w:rPr>
        <w:drawing>
          <wp:anchor distT="0" distB="0" distL="114300" distR="114300" simplePos="0" relativeHeight="251658240" behindDoc="0" locked="0" layoutInCell="1" allowOverlap="1" wp14:anchorId="77E0093E" wp14:editId="77A3C2CA">
            <wp:simplePos x="0" y="0"/>
            <wp:positionH relativeFrom="margin">
              <wp:posOffset>2713892</wp:posOffset>
            </wp:positionH>
            <wp:positionV relativeFrom="paragraph">
              <wp:posOffset>161534</wp:posOffset>
            </wp:positionV>
            <wp:extent cx="2777832" cy="1969135"/>
            <wp:effectExtent l="0" t="0" r="3810" b="0"/>
            <wp:wrapNone/>
            <wp:docPr id="1844012292" name="Grafico 1">
              <a:extLst xmlns:a="http://schemas.openxmlformats.org/drawingml/2006/main">
                <a:ext uri="{FF2B5EF4-FFF2-40B4-BE49-F238E27FC236}">
                  <a16:creationId xmlns:a16="http://schemas.microsoft.com/office/drawing/2014/main" id="{A40B4202-7E0C-1382-27A5-5166B9E7A4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232DE5" w:rsidRPr="00A723AF">
        <w:rPr>
          <w:noProof/>
        </w:rPr>
        <w:drawing>
          <wp:inline distT="0" distB="0" distL="0" distR="0" wp14:anchorId="106BD7F2" wp14:editId="78C31308">
            <wp:extent cx="2801815" cy="1910715"/>
            <wp:effectExtent l="0" t="0" r="0" b="0"/>
            <wp:docPr id="1863578661" name="Grafico 1">
              <a:extLst xmlns:a="http://schemas.openxmlformats.org/drawingml/2006/main">
                <a:ext uri="{FF2B5EF4-FFF2-40B4-BE49-F238E27FC236}">
                  <a16:creationId xmlns:a16="http://schemas.microsoft.com/office/drawing/2014/main" id="{ED689F01-41A7-4252-81C5-494CC6C24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6BF7AD" w14:textId="4D16691E" w:rsidR="009E6297" w:rsidRPr="00A723AF" w:rsidRDefault="009E6297" w:rsidP="00630DB6">
      <w:pPr>
        <w:pStyle w:val="CETBodytext"/>
      </w:pPr>
    </w:p>
    <w:p w14:paraId="5CE69F26" w14:textId="49201207" w:rsidR="00402BD7" w:rsidRPr="00A723AF" w:rsidRDefault="00402BD7" w:rsidP="00630DB6">
      <w:pPr>
        <w:pStyle w:val="CETBodytext"/>
      </w:pPr>
    </w:p>
    <w:p w14:paraId="4D47BA47" w14:textId="7C8FF2ED" w:rsidR="00402BD7" w:rsidRPr="00A723AF" w:rsidRDefault="00402BD7" w:rsidP="00C77BFC">
      <w:pPr>
        <w:pStyle w:val="CETCaption"/>
        <w:rPr>
          <w:noProof/>
          <w:color w:val="000000"/>
          <w:sz w:val="5"/>
          <w:szCs w:val="5"/>
          <w:bdr w:val="none" w:sz="0" w:space="0" w:color="auto" w:frame="1"/>
        </w:rPr>
      </w:pPr>
    </w:p>
    <w:p w14:paraId="7CED4A54" w14:textId="0E6FA111" w:rsidR="00402BD7" w:rsidRPr="00A723AF" w:rsidRDefault="00402BD7" w:rsidP="00C77BFC">
      <w:pPr>
        <w:pStyle w:val="CETCaption"/>
        <w:rPr>
          <w:rStyle w:val="CETCaptionCarattere"/>
          <w:i/>
        </w:rPr>
      </w:pPr>
      <w:r w:rsidRPr="00A723AF">
        <w:rPr>
          <w:noProof/>
        </w:rPr>
        <w:lastRenderedPageBreak/>
        <mc:AlternateContent>
          <mc:Choice Requires="wps">
            <w:drawing>
              <wp:anchor distT="45720" distB="45720" distL="114300" distR="114300" simplePos="0" relativeHeight="251665408" behindDoc="0" locked="0" layoutInCell="1" allowOverlap="1" wp14:anchorId="1C86BE97" wp14:editId="1360AF43">
                <wp:simplePos x="0" y="0"/>
                <wp:positionH relativeFrom="margin">
                  <wp:posOffset>1258207</wp:posOffset>
                </wp:positionH>
                <wp:positionV relativeFrom="paragraph">
                  <wp:posOffset>59146</wp:posOffset>
                </wp:positionV>
                <wp:extent cx="447040" cy="1404620"/>
                <wp:effectExtent l="0" t="0" r="0" b="0"/>
                <wp:wrapNone/>
                <wp:docPr id="14651186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404620"/>
                        </a:xfrm>
                        <a:prstGeom prst="rect">
                          <a:avLst/>
                        </a:prstGeom>
                        <a:noFill/>
                        <a:ln w="9525">
                          <a:noFill/>
                          <a:miter lim="800000"/>
                          <a:headEnd/>
                          <a:tailEnd/>
                        </a:ln>
                      </wps:spPr>
                      <wps:txbx>
                        <w:txbxContent>
                          <w:p w14:paraId="776E195E" w14:textId="725E3EB6" w:rsidR="00625DB4" w:rsidRPr="00402BD7" w:rsidRDefault="00625DB4">
                            <w:pPr>
                              <w:rPr>
                                <w:sz w:val="28"/>
                                <w:szCs w:val="32"/>
                                <w:lang w:val="it-IT"/>
                              </w:rPr>
                            </w:pPr>
                            <w:r w:rsidRPr="00402BD7">
                              <w:rPr>
                                <w:sz w:val="28"/>
                                <w:szCs w:val="32"/>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6BE97" id="_x0000_s1027" type="#_x0000_t202" style="position:absolute;left:0;text-align:left;margin-left:99.05pt;margin-top:4.65pt;width:35.2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" filled="f" stroked="f">
                <v:textbox style="mso-fit-shape-to-text:t">
                  <w:txbxContent>
                    <w:p w14:paraId="776E195E" w14:textId="725E3EB6" w:rsidR="00625DB4" w:rsidRPr="00402BD7" w:rsidRDefault="00625DB4">
                      <w:pPr>
                        <w:rPr>
                          <w:sz w:val="28"/>
                          <w:szCs w:val="32"/>
                          <w:lang w:val="it-IT"/>
                        </w:rPr>
                      </w:pPr>
                      <w:r w:rsidRPr="00402BD7">
                        <w:rPr>
                          <w:sz w:val="28"/>
                          <w:szCs w:val="32"/>
                        </w:rPr>
                        <w:t>c)</w:t>
                      </w:r>
                    </w:p>
                  </w:txbxContent>
                </v:textbox>
                <w10:wrap anchorx="margin"/>
              </v:shape>
            </w:pict>
          </mc:Fallback>
        </mc:AlternateContent>
      </w:r>
      <w:r w:rsidRPr="00A723AF">
        <w:rPr>
          <w:noProof/>
          <w:color w:val="000000"/>
          <w:sz w:val="5"/>
          <w:szCs w:val="5"/>
          <w:bdr w:val="none" w:sz="0" w:space="0" w:color="auto" w:frame="1"/>
        </w:rPr>
        <w:drawing>
          <wp:anchor distT="0" distB="0" distL="114300" distR="114300" simplePos="0" relativeHeight="251672576" behindDoc="0" locked="0" layoutInCell="1" allowOverlap="1" wp14:anchorId="7A5BA7F6" wp14:editId="56BA7018">
            <wp:simplePos x="0" y="0"/>
            <wp:positionH relativeFrom="column">
              <wp:posOffset>2060248</wp:posOffset>
            </wp:positionH>
            <wp:positionV relativeFrom="paragraph">
              <wp:posOffset>90079</wp:posOffset>
            </wp:positionV>
            <wp:extent cx="1409531" cy="1028700"/>
            <wp:effectExtent l="0" t="0" r="635" b="0"/>
            <wp:wrapNone/>
            <wp:docPr id="20763207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0752" cy="1029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23AF">
        <w:rPr>
          <w:noProof/>
          <w:color w:val="000000"/>
          <w:sz w:val="5"/>
          <w:szCs w:val="5"/>
          <w:bdr w:val="none" w:sz="0" w:space="0" w:color="auto" w:frame="1"/>
        </w:rPr>
        <w:drawing>
          <wp:anchor distT="0" distB="0" distL="114300" distR="114300" simplePos="0" relativeHeight="251671552" behindDoc="0" locked="0" layoutInCell="1" allowOverlap="1" wp14:anchorId="2A0866AE" wp14:editId="144755C6">
            <wp:simplePos x="0" y="0"/>
            <wp:positionH relativeFrom="margin">
              <wp:posOffset>3497580</wp:posOffset>
            </wp:positionH>
            <wp:positionV relativeFrom="paragraph">
              <wp:posOffset>57513</wp:posOffset>
            </wp:positionV>
            <wp:extent cx="1158240" cy="1226622"/>
            <wp:effectExtent l="0" t="0" r="3810" b="0"/>
            <wp:wrapNone/>
            <wp:docPr id="12445972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3590" name=""/>
                    <pic:cNvPicPr/>
                  </pic:nvPicPr>
                  <pic:blipFill>
                    <a:blip r:embed="rId13"/>
                    <a:stretch>
                      <a:fillRect/>
                    </a:stretch>
                  </pic:blipFill>
                  <pic:spPr>
                    <a:xfrm>
                      <a:off x="0" y="0"/>
                      <a:ext cx="1158240" cy="1226622"/>
                    </a:xfrm>
                    <a:prstGeom prst="rect">
                      <a:avLst/>
                    </a:prstGeom>
                  </pic:spPr>
                </pic:pic>
              </a:graphicData>
            </a:graphic>
            <wp14:sizeRelH relativeFrom="margin">
              <wp14:pctWidth>0</wp14:pctWidth>
            </wp14:sizeRelH>
            <wp14:sizeRelV relativeFrom="margin">
              <wp14:pctHeight>0</wp14:pctHeight>
            </wp14:sizeRelV>
          </wp:anchor>
        </w:drawing>
      </w:r>
      <w:r w:rsidRPr="00A723AF">
        <w:rPr>
          <w:noProof/>
          <w:color w:val="000000"/>
          <w:sz w:val="5"/>
          <w:szCs w:val="5"/>
          <w:bdr w:val="none" w:sz="0" w:space="0" w:color="auto" w:frame="1"/>
        </w:rPr>
        <w:drawing>
          <wp:inline distT="0" distB="0" distL="0" distR="0" wp14:anchorId="39B7B30A" wp14:editId="1AF3A58B">
            <wp:extent cx="4787306" cy="1997528"/>
            <wp:effectExtent l="0" t="0" r="0" b="3175"/>
            <wp:docPr id="8063204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821" r="-154"/>
                    <a:stretch>
                      <a:fillRect/>
                    </a:stretch>
                  </pic:blipFill>
                  <pic:spPr bwMode="auto">
                    <a:xfrm>
                      <a:off x="0" y="0"/>
                      <a:ext cx="4793225" cy="1999998"/>
                    </a:xfrm>
                    <a:prstGeom prst="rect">
                      <a:avLst/>
                    </a:prstGeom>
                    <a:noFill/>
                    <a:ln>
                      <a:noFill/>
                    </a:ln>
                    <a:extLst>
                      <a:ext uri="{53640926-AAD7-44D8-BBD7-CCE9431645EC}">
                        <a14:shadowObscured xmlns:a14="http://schemas.microsoft.com/office/drawing/2010/main"/>
                      </a:ext>
                    </a:extLst>
                  </pic:spPr>
                </pic:pic>
              </a:graphicData>
            </a:graphic>
          </wp:inline>
        </w:drawing>
      </w:r>
    </w:p>
    <w:p w14:paraId="382DB00A" w14:textId="2A070E92" w:rsidR="00C77BFC" w:rsidRPr="00A723AF" w:rsidRDefault="00C77BFC" w:rsidP="00C77BFC">
      <w:pPr>
        <w:pStyle w:val="CETCaption"/>
      </w:pPr>
      <w:r w:rsidRPr="00A723AF">
        <w:rPr>
          <w:rStyle w:val="CETCaptionCarattere"/>
          <w:i/>
        </w:rPr>
        <w:t xml:space="preserve">Figure 1: a) Macronutrients and b) HMs amount in blank, and </w:t>
      </w:r>
      <w:r w:rsidRPr="00A723AF">
        <w:t>6%NaCl ashes. c) SEM image of 6%NaCl ash and EDS analysis.</w:t>
      </w:r>
    </w:p>
    <w:p w14:paraId="4BC744FA" w14:textId="4BF51540" w:rsidR="00C77BFC" w:rsidRPr="00A723AF" w:rsidRDefault="00C77BFC" w:rsidP="00C77BFC">
      <w:pPr>
        <w:pStyle w:val="CETBodytext"/>
      </w:pPr>
      <w:r w:rsidRPr="00A723AF">
        <w:t xml:space="preserve">Blank ash composition </w:t>
      </w:r>
      <w:r w:rsidR="001E06E0" w:rsidRPr="00A723AF">
        <w:t>showed</w:t>
      </w:r>
      <w:r w:rsidRPr="00A723AF">
        <w:t xml:space="preserve"> suitable P and K </w:t>
      </w:r>
      <w:r w:rsidR="001E06E0" w:rsidRPr="00A723AF">
        <w:t>contents</w:t>
      </w:r>
      <w:r w:rsidRPr="00A723AF">
        <w:t>; in fact, P</w:t>
      </w:r>
      <w:r w:rsidRPr="00A723AF">
        <w:rPr>
          <w:vertAlign w:val="subscript"/>
        </w:rPr>
        <w:t>2</w:t>
      </w:r>
      <w:r w:rsidRPr="00A723AF">
        <w:t>O</w:t>
      </w:r>
      <w:r w:rsidRPr="00A723AF">
        <w:rPr>
          <w:vertAlign w:val="subscript"/>
        </w:rPr>
        <w:t>5</w:t>
      </w:r>
      <w:r w:rsidRPr="00A723AF">
        <w:t xml:space="preserve"> and K contents were 188 and 143 g/kg, respectively (Figure 1a). </w:t>
      </w:r>
      <w:r w:rsidR="002A2967" w:rsidRPr="00A723AF">
        <w:t>Furthermore</w:t>
      </w:r>
      <w:r w:rsidRPr="00A723AF">
        <w:t>, HMs exceeded threshold limits for several elements, including Ni, Pb, and Cu, with concentrations of 127, 710, and 993 mg/kg, respectively (Figure 1b). Zn and Cd were found to comply with EU Regulation 1009/20</w:t>
      </w:r>
      <w:r w:rsidR="00701D7F" w:rsidRPr="00A723AF">
        <w:t>1</w:t>
      </w:r>
      <w:r w:rsidRPr="00A723AF">
        <w:t>9, with concentrations of 971 and 24 mg/kg, respectively.</w:t>
      </w:r>
    </w:p>
    <w:p w14:paraId="36AE0064" w14:textId="55FB26DC" w:rsidR="00C77BFC" w:rsidRPr="00A723AF" w:rsidRDefault="00C77BFC" w:rsidP="00C77BFC">
      <w:pPr>
        <w:pStyle w:val="CETBodytext"/>
      </w:pPr>
      <w:r w:rsidRPr="00A723AF">
        <w:t>In 6%NaCl ash, a significant HM depletion was observed due to HM volatilization as chloride compounds. In fact, NaCl could act as a chloride donor, drastically reducing HM content</w:t>
      </w:r>
      <w:r w:rsidR="007A2EFD">
        <w:t xml:space="preserve"> (Saleh Bairq et al., 2018)</w:t>
      </w:r>
      <w:r w:rsidRPr="00A723AF">
        <w:t>. The HMs most affected by NaCl addition were Pb and Cd, whose contents were 120 and 6 mg/kg, respectively.</w:t>
      </w:r>
    </w:p>
    <w:p w14:paraId="4C51C070" w14:textId="5A2C6770" w:rsidR="00C77BFC" w:rsidRPr="00A723AF" w:rsidRDefault="00C77BFC" w:rsidP="00C77BFC">
      <w:pPr>
        <w:pStyle w:val="CETBodytext"/>
      </w:pPr>
      <w:r w:rsidRPr="00A723AF">
        <w:t>Zn and Cu also showed a significant depletion, reaching contents of 424 and 238 mg/kg, respectively. Ni was less affected by NaCl addition, and its content was still too high (75 mg/kg).</w:t>
      </w:r>
    </w:p>
    <w:p w14:paraId="775066CB" w14:textId="2D506200" w:rsidR="00C77BFC" w:rsidRPr="00A723AF" w:rsidRDefault="00C77BFC" w:rsidP="00C77BFC">
      <w:pPr>
        <w:pStyle w:val="CETBodytext"/>
      </w:pPr>
      <w:r w:rsidRPr="00A723AF">
        <w:t>NaCl addition did not influence the P</w:t>
      </w:r>
      <w:r w:rsidRPr="00A723AF">
        <w:rPr>
          <w:vertAlign w:val="subscript"/>
        </w:rPr>
        <w:t>2</w:t>
      </w:r>
      <w:r w:rsidRPr="00A723AF">
        <w:t>O</w:t>
      </w:r>
      <w:r w:rsidRPr="00A723AF">
        <w:rPr>
          <w:vertAlign w:val="subscript"/>
        </w:rPr>
        <w:t>5</w:t>
      </w:r>
      <w:r w:rsidRPr="00A723AF">
        <w:t xml:space="preserve"> and K contents, which remained constant during the treatment.</w:t>
      </w:r>
    </w:p>
    <w:p w14:paraId="79DD41AE" w14:textId="25B098BA" w:rsidR="00C77BFC" w:rsidRPr="00A723AF" w:rsidRDefault="00625DB4" w:rsidP="00625DB4">
      <w:pPr>
        <w:pStyle w:val="CETBodytext"/>
      </w:pPr>
      <w:r w:rsidRPr="00A723AF">
        <w:t>SEM analysis (Figure 1c) showed a particle morphology divided into two main fractions: one with a smooth surface and the other consisting of smaller particles. EDS analysis detected a high Ca content (21.3%) and low amounts of Fe (1.3%) and Al (0.5%), indicating that P could be mainly present as AIP rather than NAIP. This suggests that acid leaching could be a suitable process for P solubilization</w:t>
      </w:r>
      <w:r w:rsidR="00402BD7" w:rsidRPr="00A723AF">
        <w:t xml:space="preserve"> </w:t>
      </w:r>
      <w:sdt>
        <w:sdtPr>
          <w:rPr>
            <w:rFonts w:cs="Arial"/>
            <w:color w:val="000000"/>
          </w:rPr>
          <w:tag w:val="MENDELEY_CITATION_v3_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"/>
          <w:id w:val="782698747"/>
          <w:placeholder>
            <w:docPart w:val="DefaultPlaceholder_-1854013440"/>
          </w:placeholder>
        </w:sdtPr>
        <w:sdtContent>
          <w:r w:rsidR="007A2EFD" w:rsidRPr="007A2EFD">
            <w:rPr>
              <w:rFonts w:cs="Arial"/>
              <w:color w:val="000000"/>
            </w:rPr>
            <w:t>(Boniardi et al., 2024)</w:t>
          </w:r>
        </w:sdtContent>
      </w:sdt>
      <w:r w:rsidRPr="00A723AF">
        <w:t>.</w:t>
      </w:r>
    </w:p>
    <w:p w14:paraId="0B3A6878" w14:textId="7F64E09C" w:rsidR="00630DB6" w:rsidRPr="00A723AF" w:rsidRDefault="00630DB6" w:rsidP="00630DB6">
      <w:pPr>
        <w:pStyle w:val="CETheadingx"/>
      </w:pPr>
      <w:r w:rsidRPr="00A723AF">
        <w:t>Leaching</w:t>
      </w:r>
    </w:p>
    <w:p w14:paraId="6A5A70EB" w14:textId="005D088F" w:rsidR="00630DB6" w:rsidRPr="00A723AF" w:rsidRDefault="00625DB4" w:rsidP="00630DB6">
      <w:pPr>
        <w:pStyle w:val="CETBodytext"/>
      </w:pPr>
      <w:r w:rsidRPr="00A723AF">
        <w:t xml:space="preserve">Results of </w:t>
      </w:r>
      <w:r w:rsidR="00671823" w:rsidRPr="00A723AF">
        <w:t xml:space="preserve">the </w:t>
      </w:r>
      <w:r w:rsidR="000F2BBB" w:rsidRPr="00A723AF">
        <w:t>f</w:t>
      </w:r>
      <w:r w:rsidR="00630DB6" w:rsidRPr="00A723AF">
        <w:t xml:space="preserve">irst </w:t>
      </w:r>
      <w:proofErr w:type="gramStart"/>
      <w:r w:rsidR="000F2BBB" w:rsidRPr="00A723AF">
        <w:t>leaching</w:t>
      </w:r>
      <w:proofErr w:type="gramEnd"/>
      <w:r w:rsidRPr="00A723AF">
        <w:t xml:space="preserve"> </w:t>
      </w:r>
      <w:r w:rsidR="000F2BBB" w:rsidRPr="00A723AF">
        <w:t>(H</w:t>
      </w:r>
      <w:r w:rsidR="000F2BBB" w:rsidRPr="00A723AF">
        <w:rPr>
          <w:vertAlign w:val="subscript"/>
        </w:rPr>
        <w:t>2</w:t>
      </w:r>
      <w:r w:rsidR="000F2BBB" w:rsidRPr="00A723AF">
        <w:t xml:space="preserve">O-based leaching) </w:t>
      </w:r>
      <w:r w:rsidRPr="00A723AF">
        <w:t xml:space="preserve">are </w:t>
      </w:r>
      <w:r w:rsidR="007B71A9" w:rsidRPr="00A723AF">
        <w:t>reported</w:t>
      </w:r>
      <w:r w:rsidRPr="00A723AF">
        <w:t xml:space="preserve"> in Figure 2.</w:t>
      </w:r>
    </w:p>
    <w:p w14:paraId="42535DA8" w14:textId="5B14C654" w:rsidR="00671823" w:rsidRPr="00A723AF" w:rsidRDefault="007B71A9" w:rsidP="00630DB6">
      <w:pPr>
        <w:pStyle w:val="CETBodytext"/>
      </w:pPr>
      <w:r w:rsidRPr="00A723AF">
        <w:rPr>
          <w:noProof/>
        </w:rPr>
        <w:drawing>
          <wp:anchor distT="0" distB="0" distL="114300" distR="114300" simplePos="0" relativeHeight="251673600" behindDoc="0" locked="0" layoutInCell="1" allowOverlap="1" wp14:anchorId="79FC0281" wp14:editId="4FF04998">
            <wp:simplePos x="0" y="0"/>
            <wp:positionH relativeFrom="column">
              <wp:posOffset>2785745</wp:posOffset>
            </wp:positionH>
            <wp:positionV relativeFrom="paragraph">
              <wp:posOffset>6350</wp:posOffset>
            </wp:positionV>
            <wp:extent cx="2905760" cy="1879600"/>
            <wp:effectExtent l="0" t="0" r="0" b="6350"/>
            <wp:wrapNone/>
            <wp:docPr id="1888570310" name="Grafico 1">
              <a:extLst xmlns:a="http://schemas.openxmlformats.org/drawingml/2006/main">
                <a:ext uri="{FF2B5EF4-FFF2-40B4-BE49-F238E27FC236}">
                  <a16:creationId xmlns:a16="http://schemas.microsoft.com/office/drawing/2014/main" id="{A428C027-E647-142E-608A-3C9521A63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671823" w:rsidRPr="00A723AF">
        <w:rPr>
          <w:noProof/>
        </w:rPr>
        <w:drawing>
          <wp:inline distT="0" distB="0" distL="0" distR="0" wp14:anchorId="43731529" wp14:editId="38334F69">
            <wp:extent cx="2951480" cy="1976120"/>
            <wp:effectExtent l="0" t="0" r="1270" b="5080"/>
            <wp:docPr id="726915647" name="Grafico 1">
              <a:extLst xmlns:a="http://schemas.openxmlformats.org/drawingml/2006/main">
                <a:ext uri="{FF2B5EF4-FFF2-40B4-BE49-F238E27FC236}">
                  <a16:creationId xmlns:a16="http://schemas.microsoft.com/office/drawing/2014/main" id="{6C0D6D6A-F4A6-D98B-1268-159650DEA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291D59" w14:textId="794C6282" w:rsidR="00625DB4" w:rsidRPr="00A723AF" w:rsidRDefault="00777A0B" w:rsidP="00777A0B">
      <w:pPr>
        <w:pStyle w:val="CETCaption"/>
        <w:rPr>
          <w:rStyle w:val="CETCaptionCarattere"/>
          <w:i/>
          <w:lang w:val="en-US"/>
        </w:rPr>
      </w:pPr>
      <w:r w:rsidRPr="00A723AF">
        <w:rPr>
          <w:rStyle w:val="CETCaptionCarattere"/>
          <w:i/>
          <w:lang w:val="en-US"/>
        </w:rPr>
        <w:t xml:space="preserve">Figure 2: </w:t>
      </w:r>
      <w:r w:rsidR="008D069D" w:rsidRPr="00A723AF">
        <w:rPr>
          <w:rStyle w:val="CETCaptionCarattere"/>
          <w:i/>
          <w:lang w:val="en-US"/>
        </w:rPr>
        <w:t>H</w:t>
      </w:r>
      <w:r w:rsidR="008D069D" w:rsidRPr="00A723AF">
        <w:rPr>
          <w:rStyle w:val="CETCaptionCarattere"/>
          <w:i/>
          <w:vertAlign w:val="subscript"/>
          <w:lang w:val="en-US"/>
        </w:rPr>
        <w:t>2</w:t>
      </w:r>
      <w:r w:rsidR="008D069D" w:rsidRPr="00A723AF">
        <w:rPr>
          <w:rStyle w:val="CETCaptionCarattere"/>
          <w:i/>
          <w:lang w:val="en-US"/>
        </w:rPr>
        <w:t>O-based leaching on 6%NaCl ash: a) K extracted (expressed as g of K</w:t>
      </w:r>
      <w:r w:rsidR="008D069D" w:rsidRPr="00A723AF">
        <w:rPr>
          <w:rStyle w:val="CETCaptionCarattere"/>
          <w:i/>
          <w:vertAlign w:val="superscript"/>
          <w:lang w:val="en-US"/>
        </w:rPr>
        <w:t>+</w:t>
      </w:r>
      <w:r w:rsidR="008D069D" w:rsidRPr="00A723AF">
        <w:rPr>
          <w:rStyle w:val="CETCaptionCarattere"/>
          <w:i/>
          <w:lang w:val="en-US"/>
        </w:rPr>
        <w:t>/kg of ash) and b) HMs extracted (expressed as mg/L) at varying L/S ratios.</w:t>
      </w:r>
    </w:p>
    <w:p w14:paraId="7A69A545" w14:textId="308920FF" w:rsidR="00823E2A" w:rsidRPr="00A723AF" w:rsidRDefault="008D069D" w:rsidP="00823E2A">
      <w:pPr>
        <w:pStyle w:val="CETBodytext"/>
      </w:pPr>
      <w:r w:rsidRPr="00A723AF">
        <w:t>H</w:t>
      </w:r>
      <w:r w:rsidRPr="00A723AF">
        <w:rPr>
          <w:vertAlign w:val="subscript"/>
        </w:rPr>
        <w:t>2</w:t>
      </w:r>
      <w:r w:rsidRPr="00A723AF">
        <w:t>O</w:t>
      </w:r>
      <w:r w:rsidR="00823E2A" w:rsidRPr="00A723AF">
        <w:t xml:space="preserve">-based leaching extracted approximately 100 g of </w:t>
      </w:r>
      <w:r w:rsidRPr="00A723AF">
        <w:t>K</w:t>
      </w:r>
      <w:r w:rsidRPr="00A723AF">
        <w:rPr>
          <w:vertAlign w:val="superscript"/>
        </w:rPr>
        <w:t>+</w:t>
      </w:r>
      <w:r w:rsidR="00823E2A" w:rsidRPr="00A723AF">
        <w:t xml:space="preserve"> per 1 kg of 6%NaCl ash</w:t>
      </w:r>
      <w:r w:rsidR="006826DB">
        <w:t xml:space="preserve"> (Figure 2a)</w:t>
      </w:r>
      <w:r w:rsidR="00823E2A" w:rsidRPr="00A723AF">
        <w:t xml:space="preserve">, resulting in a concentration of ~20 g/L </w:t>
      </w:r>
      <w:r w:rsidRPr="00A723AF">
        <w:t>K</w:t>
      </w:r>
      <w:r w:rsidRPr="00A723AF">
        <w:rPr>
          <w:vertAlign w:val="superscript"/>
        </w:rPr>
        <w:t>+</w:t>
      </w:r>
      <w:r w:rsidR="00823E2A" w:rsidRPr="00A723AF">
        <w:t xml:space="preserve"> at L/S = 5. In fact, K extraction was not affected by the L/S ratio in the explored range between L/S 5 and 100, so </w:t>
      </w:r>
      <w:r w:rsidR="006826DB">
        <w:t>the lowest</w:t>
      </w:r>
      <w:r w:rsidR="00823E2A" w:rsidRPr="00A723AF">
        <w:t xml:space="preserve"> amount of </w:t>
      </w:r>
      <w:r w:rsidRPr="00A723AF">
        <w:t>H</w:t>
      </w:r>
      <w:r w:rsidRPr="00A723AF">
        <w:rPr>
          <w:vertAlign w:val="subscript"/>
        </w:rPr>
        <w:t>2</w:t>
      </w:r>
      <w:r w:rsidR="00823E2A" w:rsidRPr="00A723AF">
        <w:t xml:space="preserve">O </w:t>
      </w:r>
      <w:r w:rsidR="007C34CC">
        <w:t>is</w:t>
      </w:r>
      <w:r w:rsidRPr="00A723AF">
        <w:t xml:space="preserve"> </w:t>
      </w:r>
      <w:r w:rsidR="00823E2A" w:rsidRPr="00A723AF">
        <w:t xml:space="preserve">more advantageous because </w:t>
      </w:r>
      <w:r w:rsidR="006826DB">
        <w:t xml:space="preserve">it results in </w:t>
      </w:r>
      <w:proofErr w:type="gramStart"/>
      <w:r w:rsidR="006826DB">
        <w:t>a</w:t>
      </w:r>
      <w:r w:rsidR="00823E2A" w:rsidRPr="00A723AF">
        <w:t xml:space="preserve"> production</w:t>
      </w:r>
      <w:proofErr w:type="gramEnd"/>
      <w:r w:rsidR="00823E2A" w:rsidRPr="00A723AF">
        <w:t xml:space="preserve"> of a more concentrated K solution.</w:t>
      </w:r>
    </w:p>
    <w:p w14:paraId="41F6469F" w14:textId="18B1990A" w:rsidR="00823E2A" w:rsidRPr="00A723AF" w:rsidRDefault="00823E2A" w:rsidP="00823E2A">
      <w:pPr>
        <w:pStyle w:val="CETBodytext"/>
      </w:pPr>
      <w:r w:rsidRPr="00A723AF">
        <w:lastRenderedPageBreak/>
        <w:t>Furthermore, HMs content in the leachate was at very low concentrations. Ni</w:t>
      </w:r>
      <w:r w:rsidR="008D069D" w:rsidRPr="00A723AF">
        <w:rPr>
          <w:vertAlign w:val="superscript"/>
        </w:rPr>
        <w:t>2+</w:t>
      </w:r>
      <w:r w:rsidR="008D069D" w:rsidRPr="00A723AF">
        <w:t xml:space="preserve"> </w:t>
      </w:r>
      <w:r w:rsidRPr="00A723AF">
        <w:t>and Cr</w:t>
      </w:r>
      <w:r w:rsidR="008D069D" w:rsidRPr="00A723AF">
        <w:rPr>
          <w:vertAlign w:val="superscript"/>
        </w:rPr>
        <w:t>3+</w:t>
      </w:r>
      <w:r w:rsidR="008D069D" w:rsidRPr="00A723AF">
        <w:t xml:space="preserve"> </w:t>
      </w:r>
      <w:r w:rsidRPr="00A723AF">
        <w:t>were not detected, indicating that they are present in the ash as non-soluble salts. At L/S = 5, only Zn</w:t>
      </w:r>
      <w:r w:rsidR="008D069D" w:rsidRPr="00A723AF">
        <w:rPr>
          <w:vertAlign w:val="superscript"/>
        </w:rPr>
        <w:t>2+</w:t>
      </w:r>
      <w:r w:rsidRPr="00A723AF">
        <w:t xml:space="preserve"> and Pb</w:t>
      </w:r>
      <w:r w:rsidR="008D069D" w:rsidRPr="00A723AF">
        <w:rPr>
          <w:rFonts w:cs="Arial"/>
          <w:vertAlign w:val="superscript"/>
        </w:rPr>
        <w:t>2+</w:t>
      </w:r>
      <w:r w:rsidRPr="00A723AF">
        <w:t xml:space="preserve"> were detected, at concentrations of 2 and 3 mg/L, respectively</w:t>
      </w:r>
      <w:r w:rsidR="006826DB">
        <w:t xml:space="preserve"> (Figure 2b)</w:t>
      </w:r>
      <w:r w:rsidRPr="00A723AF">
        <w:t>.</w:t>
      </w:r>
    </w:p>
    <w:p w14:paraId="200013A9" w14:textId="034177FA" w:rsidR="00823E2A" w:rsidRPr="00A723AF" w:rsidRDefault="00823E2A" w:rsidP="00823E2A">
      <w:pPr>
        <w:pStyle w:val="CETBodytext"/>
        <w:rPr>
          <w:iCs/>
        </w:rPr>
      </w:pPr>
      <w:r w:rsidRPr="00A723AF">
        <w:rPr>
          <w:iCs/>
        </w:rPr>
        <w:t xml:space="preserve">Although these amounts cannot be neglected, they comply with threshold limits for K-based fertilizers because, </w:t>
      </w:r>
      <w:r w:rsidR="003D2357" w:rsidRPr="003D2357">
        <w:rPr>
          <w:iCs/>
        </w:rPr>
        <w:t xml:space="preserve">using a conservative estimate of the dry residue consisting exclusively of KCl and thus assuming </w:t>
      </w:r>
      <w:r w:rsidRPr="00A723AF">
        <w:rPr>
          <w:iCs/>
        </w:rPr>
        <w:t>20 g/L of K</w:t>
      </w:r>
      <w:r w:rsidR="008D069D" w:rsidRPr="00A723AF">
        <w:rPr>
          <w:iCs/>
          <w:vertAlign w:val="superscript"/>
        </w:rPr>
        <w:t>+</w:t>
      </w:r>
      <w:r w:rsidRPr="00A723AF">
        <w:rPr>
          <w:iCs/>
        </w:rPr>
        <w:t xml:space="preserve">, about 38 g/L of KCl </w:t>
      </w:r>
      <w:r w:rsidR="003D2357" w:rsidRPr="003D2357">
        <w:rPr>
          <w:iCs/>
        </w:rPr>
        <w:t>is expected (</w:t>
      </w:r>
      <w:r w:rsidR="003D2357">
        <w:rPr>
          <w:iCs/>
        </w:rPr>
        <w:t>actually</w:t>
      </w:r>
      <w:r w:rsidR="003D2357" w:rsidRPr="003D2357">
        <w:rPr>
          <w:iCs/>
        </w:rPr>
        <w:t>, the dry residue is higher since other ions are also present)</w:t>
      </w:r>
      <w:r w:rsidRPr="00A723AF">
        <w:rPr>
          <w:iCs/>
        </w:rPr>
        <w:t>, the theoretical Pb is 79 mg/kg, lower than the threshold limit of 120 mg/kg of EU Regulation 2019/1009. Zn has higher limits (1500 mg/kg) since it is a micronutrient.</w:t>
      </w:r>
    </w:p>
    <w:p w14:paraId="37C77134" w14:textId="7B2FD022" w:rsidR="00E74528" w:rsidRPr="00A723AF" w:rsidRDefault="00823E2A" w:rsidP="00823E2A">
      <w:pPr>
        <w:pStyle w:val="CETBodytext"/>
        <w:rPr>
          <w:i/>
          <w:iCs/>
        </w:rPr>
      </w:pPr>
      <w:r w:rsidRPr="00A723AF">
        <w:rPr>
          <w:iCs/>
        </w:rPr>
        <w:t xml:space="preserve">However, this solution cannot be classified as a liquid inorganic K-based fertilizer because it should contain </w:t>
      </w:r>
      <w:r w:rsidR="008D069D" w:rsidRPr="00A723AF">
        <w:rPr>
          <w:iCs/>
        </w:rPr>
        <w:t>K</w:t>
      </w:r>
      <w:r w:rsidR="008D069D" w:rsidRPr="00A723AF">
        <w:rPr>
          <w:iCs/>
          <w:vertAlign w:val="subscript"/>
        </w:rPr>
        <w:t>2</w:t>
      </w:r>
      <w:r w:rsidRPr="00A723AF">
        <w:rPr>
          <w:iCs/>
        </w:rPr>
        <w:t xml:space="preserve">O m/m &gt; 3%, whereas the present solution has an equivalent </w:t>
      </w:r>
      <w:r w:rsidR="008D069D" w:rsidRPr="00A723AF">
        <w:rPr>
          <w:iCs/>
        </w:rPr>
        <w:t>K</w:t>
      </w:r>
      <w:r w:rsidR="008D069D" w:rsidRPr="00A723AF">
        <w:rPr>
          <w:iCs/>
          <w:vertAlign w:val="subscript"/>
        </w:rPr>
        <w:t>2</w:t>
      </w:r>
      <w:r w:rsidRPr="00A723AF">
        <w:rPr>
          <w:iCs/>
        </w:rPr>
        <w:t xml:space="preserve">O of about 2.5%. Therefore, less </w:t>
      </w:r>
      <w:r w:rsidR="008D069D" w:rsidRPr="00A723AF">
        <w:rPr>
          <w:iCs/>
        </w:rPr>
        <w:t>H</w:t>
      </w:r>
      <w:r w:rsidR="008D069D" w:rsidRPr="00A723AF">
        <w:rPr>
          <w:iCs/>
          <w:vertAlign w:val="subscript"/>
        </w:rPr>
        <w:t>2</w:t>
      </w:r>
      <w:r w:rsidRPr="00A723AF">
        <w:rPr>
          <w:iCs/>
        </w:rPr>
        <w:t>O should be used</w:t>
      </w:r>
      <w:r w:rsidR="008D069D" w:rsidRPr="00A723AF">
        <w:rPr>
          <w:iCs/>
        </w:rPr>
        <w:t>,</w:t>
      </w:r>
      <w:r w:rsidRPr="00A723AF">
        <w:rPr>
          <w:iCs/>
        </w:rPr>
        <w:t xml:space="preserve"> or further concentration steps (such as crystallization) should be considered</w:t>
      </w:r>
      <w:r w:rsidRPr="00A723AF">
        <w:rPr>
          <w:i/>
          <w:iCs/>
        </w:rPr>
        <w:t>.</w:t>
      </w:r>
    </w:p>
    <w:p w14:paraId="68D4C2CD" w14:textId="7575A69F" w:rsidR="00630DB6" w:rsidRPr="00A723AF" w:rsidRDefault="00630DB6" w:rsidP="00630DB6">
      <w:pPr>
        <w:pStyle w:val="CETBodytext"/>
      </w:pPr>
      <w:r w:rsidRPr="00A723AF">
        <w:t xml:space="preserve">Acidic leaching </w:t>
      </w:r>
      <w:r w:rsidR="00E74528" w:rsidRPr="00A723AF">
        <w:t>(H</w:t>
      </w:r>
      <w:r w:rsidR="00E74528" w:rsidRPr="00A723AF">
        <w:rPr>
          <w:vertAlign w:val="subscript"/>
        </w:rPr>
        <w:t>2</w:t>
      </w:r>
      <w:r w:rsidR="00E74528" w:rsidRPr="00A723AF">
        <w:t>SO</w:t>
      </w:r>
      <w:r w:rsidR="00E74528" w:rsidRPr="00A723AF">
        <w:rPr>
          <w:vertAlign w:val="subscript"/>
        </w:rPr>
        <w:t>4</w:t>
      </w:r>
      <w:r w:rsidR="00E74528" w:rsidRPr="00A723AF">
        <w:t xml:space="preserve">-based leaching) </w:t>
      </w:r>
      <w:r w:rsidR="0011761A" w:rsidRPr="00A723AF">
        <w:t xml:space="preserve">results are shown in Figure </w:t>
      </w:r>
      <w:r w:rsidR="00625DB4" w:rsidRPr="00A723AF">
        <w:t>3</w:t>
      </w:r>
      <w:r w:rsidR="0011761A" w:rsidRPr="00A723AF">
        <w:t>.</w:t>
      </w:r>
    </w:p>
    <w:p w14:paraId="5679B393" w14:textId="14841918" w:rsidR="0011761A" w:rsidRPr="00A723AF" w:rsidRDefault="009149E1" w:rsidP="00630DB6">
      <w:pPr>
        <w:pStyle w:val="CETBodytext"/>
      </w:pPr>
      <w:r w:rsidRPr="00A723AF">
        <w:rPr>
          <w:noProof/>
        </w:rPr>
        <w:drawing>
          <wp:anchor distT="0" distB="0" distL="114300" distR="114300" simplePos="0" relativeHeight="251661312" behindDoc="0" locked="0" layoutInCell="1" allowOverlap="1" wp14:anchorId="227E9001" wp14:editId="382DEADD">
            <wp:simplePos x="0" y="0"/>
            <wp:positionH relativeFrom="margin">
              <wp:align>right</wp:align>
            </wp:positionH>
            <wp:positionV relativeFrom="paragraph">
              <wp:posOffset>4445</wp:posOffset>
            </wp:positionV>
            <wp:extent cx="2799080" cy="2032000"/>
            <wp:effectExtent l="0" t="0" r="1270" b="0"/>
            <wp:wrapNone/>
            <wp:docPr id="367490785" name="Grafico 1">
              <a:extLst xmlns:a="http://schemas.openxmlformats.org/drawingml/2006/main">
                <a:ext uri="{FF2B5EF4-FFF2-40B4-BE49-F238E27FC236}">
                  <a16:creationId xmlns:a16="http://schemas.microsoft.com/office/drawing/2014/main" id="{7627A8BB-E25B-9C17-601D-D624E10D2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11761A" w:rsidRPr="00A723AF">
        <w:rPr>
          <w:noProof/>
        </w:rPr>
        <w:drawing>
          <wp:inline distT="0" distB="0" distL="0" distR="0" wp14:anchorId="0E501583" wp14:editId="7048C27C">
            <wp:extent cx="2992120" cy="2011680"/>
            <wp:effectExtent l="0" t="0" r="0" b="7620"/>
            <wp:docPr id="1839954692" name="Grafico 1">
              <a:extLst xmlns:a="http://schemas.openxmlformats.org/drawingml/2006/main">
                <a:ext uri="{FF2B5EF4-FFF2-40B4-BE49-F238E27FC236}">
                  <a16:creationId xmlns:a16="http://schemas.microsoft.com/office/drawing/2014/main" id="{C0103CA1-A148-4122-9133-4C3EC1A5B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1E0F19" w14:textId="739D7742" w:rsidR="0011761A" w:rsidRPr="00A723AF" w:rsidRDefault="000C5EAD" w:rsidP="0011761A">
      <w:pPr>
        <w:pStyle w:val="CETCaption"/>
      </w:pPr>
      <w:r w:rsidRPr="00A723AF">
        <w:rPr>
          <w:rStyle w:val="CETCaptionCarattere"/>
          <w:i/>
        </w:rPr>
        <w:t xml:space="preserve">Figure 3: a) Extraction percentages at varying citric acid concentrations using 1 M </w:t>
      </w:r>
      <w:r w:rsidR="00C4361C" w:rsidRPr="00A723AF">
        <w:t>H</w:t>
      </w:r>
      <w:r w:rsidR="00C4361C" w:rsidRPr="00A723AF">
        <w:rPr>
          <w:vertAlign w:val="subscript"/>
        </w:rPr>
        <w:t>2</w:t>
      </w:r>
      <w:r w:rsidR="00C4361C" w:rsidRPr="00A723AF">
        <w:t>SO</w:t>
      </w:r>
      <w:r w:rsidR="00C4361C" w:rsidRPr="00A723AF">
        <w:rPr>
          <w:vertAlign w:val="subscript"/>
        </w:rPr>
        <w:t>4</w:t>
      </w:r>
      <w:r w:rsidRPr="00A723AF">
        <w:rPr>
          <w:rStyle w:val="CETCaptionCarattere"/>
          <w:i/>
        </w:rPr>
        <w:t xml:space="preserve"> (L/S = 10) on blank ash. b) HMs concentration in the leachate obtained from blank and 6%NaCl ash treated with 1 M </w:t>
      </w:r>
      <w:r w:rsidR="00C4361C" w:rsidRPr="00A723AF">
        <w:t>H</w:t>
      </w:r>
      <w:r w:rsidR="00C4361C" w:rsidRPr="00A723AF">
        <w:rPr>
          <w:vertAlign w:val="subscript"/>
        </w:rPr>
        <w:t>2</w:t>
      </w:r>
      <w:r w:rsidR="00C4361C" w:rsidRPr="00A723AF">
        <w:t>SO</w:t>
      </w:r>
      <w:r w:rsidR="00C4361C" w:rsidRPr="00A723AF">
        <w:rPr>
          <w:vertAlign w:val="subscript"/>
        </w:rPr>
        <w:t>4</w:t>
      </w:r>
      <w:r w:rsidRPr="00A723AF">
        <w:rPr>
          <w:rStyle w:val="CETCaptionCarattere"/>
          <w:i/>
        </w:rPr>
        <w:t xml:space="preserve"> (L/S = 10).</w:t>
      </w:r>
    </w:p>
    <w:p w14:paraId="21A6B21C" w14:textId="5C4330C2" w:rsidR="000C5EAD" w:rsidRPr="00A723AF" w:rsidRDefault="000C5EAD" w:rsidP="000C5EAD">
      <w:pPr>
        <w:pStyle w:val="CETBodytext"/>
        <w:rPr>
          <w:lang w:val="en-GB"/>
        </w:rPr>
      </w:pPr>
      <w:r w:rsidRPr="00A723AF">
        <w:rPr>
          <w:lang w:val="en-GB"/>
        </w:rPr>
        <w:t xml:space="preserve">Acid leaching carried out with 1 M </w:t>
      </w:r>
      <w:r w:rsidR="00C4361C" w:rsidRPr="00A723AF">
        <w:t>H</w:t>
      </w:r>
      <w:r w:rsidR="00C4361C" w:rsidRPr="00A723AF">
        <w:rPr>
          <w:vertAlign w:val="subscript"/>
        </w:rPr>
        <w:t>2</w:t>
      </w:r>
      <w:r w:rsidR="00C4361C" w:rsidRPr="00A723AF">
        <w:t>SO</w:t>
      </w:r>
      <w:r w:rsidR="00C4361C" w:rsidRPr="00A723AF">
        <w:rPr>
          <w:vertAlign w:val="subscript"/>
        </w:rPr>
        <w:t>4</w:t>
      </w:r>
      <w:r w:rsidRPr="00A723AF">
        <w:rPr>
          <w:lang w:val="en-GB"/>
        </w:rPr>
        <w:t xml:space="preserve"> extracted 76% of P and a moderate amount of Cu</w:t>
      </w:r>
      <w:r w:rsidR="007C34CC" w:rsidRPr="007C34CC">
        <w:rPr>
          <w:vertAlign w:val="superscript"/>
          <w:lang w:val="en-GB"/>
        </w:rPr>
        <w:t>2+</w:t>
      </w:r>
      <w:r w:rsidRPr="00A723AF">
        <w:rPr>
          <w:lang w:val="en-GB"/>
        </w:rPr>
        <w:t xml:space="preserve"> and Pb</w:t>
      </w:r>
      <w:r w:rsidR="007C34CC" w:rsidRPr="007C34CC">
        <w:rPr>
          <w:vertAlign w:val="superscript"/>
          <w:lang w:val="en-GB"/>
        </w:rPr>
        <w:t>2+</w:t>
      </w:r>
      <w:r w:rsidRPr="00A723AF">
        <w:rPr>
          <w:lang w:val="en-GB"/>
        </w:rPr>
        <w:t xml:space="preserve"> (approximately 27%). Cr</w:t>
      </w:r>
      <w:r w:rsidR="007C34CC" w:rsidRPr="007C34CC">
        <w:rPr>
          <w:vertAlign w:val="superscript"/>
          <w:lang w:val="en-GB"/>
        </w:rPr>
        <w:t>3+</w:t>
      </w:r>
      <w:r w:rsidRPr="00A723AF">
        <w:rPr>
          <w:lang w:val="en-GB"/>
        </w:rPr>
        <w:t xml:space="preserve"> and Cd</w:t>
      </w:r>
      <w:r w:rsidR="007C34CC" w:rsidRPr="007C34CC">
        <w:rPr>
          <w:vertAlign w:val="superscript"/>
          <w:lang w:val="en-GB"/>
        </w:rPr>
        <w:t>2+</w:t>
      </w:r>
      <w:r w:rsidRPr="00A723AF">
        <w:rPr>
          <w:lang w:val="en-GB"/>
        </w:rPr>
        <w:t xml:space="preserve"> were not detected, indicating that </w:t>
      </w:r>
      <w:r w:rsidR="00C4361C" w:rsidRPr="00A723AF">
        <w:t>H</w:t>
      </w:r>
      <w:r w:rsidR="00C4361C" w:rsidRPr="00A723AF">
        <w:rPr>
          <w:vertAlign w:val="subscript"/>
        </w:rPr>
        <w:t>2</w:t>
      </w:r>
      <w:r w:rsidR="00C4361C" w:rsidRPr="00A723AF">
        <w:t>SO</w:t>
      </w:r>
      <w:r w:rsidR="00C4361C" w:rsidRPr="00A723AF">
        <w:rPr>
          <w:vertAlign w:val="subscript"/>
        </w:rPr>
        <w:t>4</w:t>
      </w:r>
      <w:r w:rsidRPr="00A723AF">
        <w:rPr>
          <w:lang w:val="en-GB"/>
        </w:rPr>
        <w:t xml:space="preserve"> is </w:t>
      </w:r>
      <w:r w:rsidR="001E06E0" w:rsidRPr="00A723AF">
        <w:rPr>
          <w:lang w:val="en-GB"/>
        </w:rPr>
        <w:t>relatively</w:t>
      </w:r>
      <w:r w:rsidRPr="00A723AF">
        <w:rPr>
          <w:lang w:val="en-GB"/>
        </w:rPr>
        <w:t xml:space="preserve"> selective and ensures a low content of these HMs, allowing an adequate separation of P. Zn</w:t>
      </w:r>
      <w:r w:rsidR="007C34CC" w:rsidRPr="007C34CC">
        <w:rPr>
          <w:vertAlign w:val="superscript"/>
          <w:lang w:val="en-GB"/>
        </w:rPr>
        <w:t>2+</w:t>
      </w:r>
      <w:r w:rsidRPr="00A723AF">
        <w:rPr>
          <w:lang w:val="en-GB"/>
        </w:rPr>
        <w:t xml:space="preserve"> and Ni</w:t>
      </w:r>
      <w:r w:rsidR="007C34CC" w:rsidRPr="007C34CC">
        <w:rPr>
          <w:vertAlign w:val="superscript"/>
          <w:lang w:val="en-GB"/>
        </w:rPr>
        <w:t>2+</w:t>
      </w:r>
      <w:r w:rsidRPr="00A723AF">
        <w:rPr>
          <w:lang w:val="en-GB"/>
        </w:rPr>
        <w:t xml:space="preserve"> were the most extracted HMs, reaching extraction percentages around 50%</w:t>
      </w:r>
      <w:r w:rsidR="00625DB4" w:rsidRPr="00A723AF">
        <w:rPr>
          <w:lang w:val="en-GB"/>
        </w:rPr>
        <w:t xml:space="preserve"> (Figure 3a)</w:t>
      </w:r>
      <w:r w:rsidRPr="00A723AF">
        <w:rPr>
          <w:lang w:val="en-GB"/>
        </w:rPr>
        <w:t>.</w:t>
      </w:r>
    </w:p>
    <w:p w14:paraId="3E9B1914" w14:textId="5C1BA6CE" w:rsidR="000C5EAD" w:rsidRPr="00A723AF" w:rsidRDefault="000C5EAD" w:rsidP="000C5EAD">
      <w:pPr>
        <w:pStyle w:val="CETBodytext"/>
        <w:rPr>
          <w:lang w:val="en-GB"/>
        </w:rPr>
      </w:pPr>
      <w:r w:rsidRPr="00A723AF">
        <w:rPr>
          <w:lang w:val="en-GB"/>
        </w:rPr>
        <w:t xml:space="preserve">Increasing citric acid concentration enhanced the extraction yield of all compounds; for P, about 85% was achieved (0.44 g/L of citric acid). However, the increase in extraction was detrimental due to the co-extraction of HMs. These results demonstrate that a mixture of </w:t>
      </w:r>
      <w:r w:rsidR="00625DB4" w:rsidRPr="00A723AF">
        <w:t>H</w:t>
      </w:r>
      <w:r w:rsidR="00625DB4" w:rsidRPr="00A723AF">
        <w:rPr>
          <w:vertAlign w:val="subscript"/>
        </w:rPr>
        <w:t>2</w:t>
      </w:r>
      <w:r w:rsidR="00625DB4" w:rsidRPr="00A723AF">
        <w:t>SO</w:t>
      </w:r>
      <w:r w:rsidR="00625DB4" w:rsidRPr="00A723AF">
        <w:rPr>
          <w:vertAlign w:val="subscript"/>
        </w:rPr>
        <w:t>4</w:t>
      </w:r>
      <w:r w:rsidRPr="00A723AF">
        <w:rPr>
          <w:lang w:val="en-GB"/>
        </w:rPr>
        <w:t xml:space="preserve"> and citric acid is a stronger leachant but less selective; therefore, for this purpose, it is not an adequate strategy. Thus, the best leachant resulted </w:t>
      </w:r>
      <w:r w:rsidR="00C4361C" w:rsidRPr="00A723AF">
        <w:rPr>
          <w:lang w:val="en-GB"/>
        </w:rPr>
        <w:t>in</w:t>
      </w:r>
      <w:r w:rsidRPr="00A723AF">
        <w:rPr>
          <w:lang w:val="en-GB"/>
        </w:rPr>
        <w:t xml:space="preserve"> </w:t>
      </w:r>
      <w:r w:rsidR="00C4361C" w:rsidRPr="00A723AF">
        <w:t>H</w:t>
      </w:r>
      <w:r w:rsidR="00C4361C" w:rsidRPr="00A723AF">
        <w:rPr>
          <w:vertAlign w:val="subscript"/>
        </w:rPr>
        <w:t>2</w:t>
      </w:r>
      <w:r w:rsidR="00C4361C" w:rsidRPr="00A723AF">
        <w:t>SO</w:t>
      </w:r>
      <w:r w:rsidR="00C4361C" w:rsidRPr="00A723AF">
        <w:rPr>
          <w:vertAlign w:val="subscript"/>
        </w:rPr>
        <w:t>4</w:t>
      </w:r>
      <w:r w:rsidRPr="00A723AF">
        <w:rPr>
          <w:lang w:val="en-GB"/>
        </w:rPr>
        <w:t xml:space="preserve"> alone, considering its higher selectivity for P.</w:t>
      </w:r>
    </w:p>
    <w:p w14:paraId="291B14EC" w14:textId="1F1B6C35" w:rsidR="00F45024" w:rsidRPr="00A723AF" w:rsidRDefault="000C5EAD" w:rsidP="000C5EAD">
      <w:pPr>
        <w:pStyle w:val="CETBodytext"/>
        <w:rPr>
          <w:lang w:val="en-GB"/>
        </w:rPr>
      </w:pPr>
      <w:r w:rsidRPr="00A723AF">
        <w:rPr>
          <w:lang w:val="en-GB"/>
        </w:rPr>
        <w:t>Leaching carried out on 6%NaCl ash demonstrated that NaCl enhanced P extraction (from 76 up to 91%)</w:t>
      </w:r>
      <w:r w:rsidR="00D35267" w:rsidRPr="00A723AF">
        <w:rPr>
          <w:lang w:val="en-GB"/>
        </w:rPr>
        <w:t>, converting AIP into more soluble species as NaCaPO</w:t>
      </w:r>
      <w:r w:rsidR="00D35267" w:rsidRPr="00A723AF">
        <w:rPr>
          <w:vertAlign w:val="subscript"/>
          <w:lang w:val="en-GB"/>
        </w:rPr>
        <w:t>4</w:t>
      </w:r>
      <w:r w:rsidR="00D35267" w:rsidRPr="00A723AF">
        <w:rPr>
          <w:lang w:val="en-GB"/>
        </w:rPr>
        <w:t xml:space="preserve"> (rhenanite) </w:t>
      </w:r>
      <w:sdt>
        <w:sdtPr>
          <w:rPr>
            <w:rFonts w:cs="Arial"/>
            <w:color w:val="000000"/>
            <w:lang w:val="en-GB"/>
          </w:rPr>
          <w:tag w:val="MENDELEY_CITATION_v3_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"/>
          <w:id w:val="-194925096"/>
          <w:placeholder>
            <w:docPart w:val="DefaultPlaceholder_-1854013440"/>
          </w:placeholder>
        </w:sdtPr>
        <w:sdtContent>
          <w:r w:rsidR="007A2EFD" w:rsidRPr="007A2EFD">
            <w:rPr>
              <w:rFonts w:cs="Arial"/>
              <w:color w:val="000000"/>
              <w:lang w:val="en-GB"/>
            </w:rPr>
            <w:t>(Bier‐Schorr et al., 2025)</w:t>
          </w:r>
        </w:sdtContent>
      </w:sdt>
      <w:r w:rsidR="00D35267" w:rsidRPr="00A723AF">
        <w:rPr>
          <w:rFonts w:cs="Arial"/>
          <w:color w:val="000000"/>
          <w:lang w:val="en-GB"/>
        </w:rPr>
        <w:t xml:space="preserve">, </w:t>
      </w:r>
      <w:r w:rsidRPr="00A723AF">
        <w:rPr>
          <w:lang w:val="en-GB"/>
        </w:rPr>
        <w:t xml:space="preserve">while simultaneously reducing the HM content in the leachate (Figure </w:t>
      </w:r>
      <w:r w:rsidR="00625DB4" w:rsidRPr="00A723AF">
        <w:rPr>
          <w:lang w:val="en-GB"/>
        </w:rPr>
        <w:t>3</w:t>
      </w:r>
      <w:r w:rsidRPr="00A723AF">
        <w:rPr>
          <w:lang w:val="en-GB"/>
        </w:rPr>
        <w:t>b), making this approach the most suitable and thus selected for the precipitation step. In fact, in the leachate from 6%NaCl ash, P</w:t>
      </w:r>
      <w:r w:rsidR="00C4361C" w:rsidRPr="00A723AF">
        <w:rPr>
          <w:lang w:val="en-GB"/>
        </w:rPr>
        <w:t>O</w:t>
      </w:r>
      <w:r w:rsidR="00C4361C" w:rsidRPr="00A723AF">
        <w:rPr>
          <w:vertAlign w:val="subscript"/>
          <w:lang w:val="en-GB"/>
        </w:rPr>
        <w:t>4</w:t>
      </w:r>
      <w:r w:rsidR="00C4361C" w:rsidRPr="00A723AF">
        <w:rPr>
          <w:vertAlign w:val="superscript"/>
          <w:lang w:val="en-GB"/>
        </w:rPr>
        <w:t>3</w:t>
      </w:r>
      <w:r w:rsidR="00C4361C" w:rsidRPr="00A723AF">
        <w:rPr>
          <w:rFonts w:cs="Arial"/>
          <w:vertAlign w:val="superscript"/>
          <w:lang w:val="en-GB"/>
        </w:rPr>
        <w:t>–</w:t>
      </w:r>
      <w:r w:rsidRPr="00A723AF">
        <w:rPr>
          <w:lang w:val="en-GB"/>
        </w:rPr>
        <w:t xml:space="preserve"> ions reached a concentration of 24</w:t>
      </w:r>
      <w:r w:rsidR="00C4361C" w:rsidRPr="00A723AF">
        <w:rPr>
          <w:lang w:val="en-GB"/>
        </w:rPr>
        <w:t>.</w:t>
      </w:r>
      <w:r w:rsidRPr="00A723AF">
        <w:rPr>
          <w:lang w:val="en-GB"/>
        </w:rPr>
        <w:t>4 g/L, while Pb</w:t>
      </w:r>
      <w:r w:rsidR="00C4361C" w:rsidRPr="00A723AF">
        <w:rPr>
          <w:vertAlign w:val="superscript"/>
          <w:lang w:val="en-GB"/>
        </w:rPr>
        <w:t>2+</w:t>
      </w:r>
      <w:r w:rsidRPr="00A723AF">
        <w:rPr>
          <w:lang w:val="en-GB"/>
        </w:rPr>
        <w:t>, Zn</w:t>
      </w:r>
      <w:r w:rsidR="00C4361C" w:rsidRPr="00A723AF">
        <w:rPr>
          <w:vertAlign w:val="superscript"/>
          <w:lang w:val="en-GB"/>
        </w:rPr>
        <w:t>2+</w:t>
      </w:r>
      <w:r w:rsidRPr="00A723AF">
        <w:rPr>
          <w:lang w:val="en-GB"/>
        </w:rPr>
        <w:t>, and Cu</w:t>
      </w:r>
      <w:r w:rsidR="00C4361C" w:rsidRPr="00A723AF">
        <w:rPr>
          <w:vertAlign w:val="superscript"/>
          <w:lang w:val="en-GB"/>
        </w:rPr>
        <w:t>2+</w:t>
      </w:r>
      <w:r w:rsidRPr="00A723AF">
        <w:rPr>
          <w:lang w:val="en-GB"/>
        </w:rPr>
        <w:t xml:space="preserve"> concentrations significantly decreased. Ni</w:t>
      </w:r>
      <w:r w:rsidR="00C4361C" w:rsidRPr="00A723AF">
        <w:rPr>
          <w:vertAlign w:val="superscript"/>
          <w:lang w:val="en-GB"/>
        </w:rPr>
        <w:t>2+</w:t>
      </w:r>
      <w:r w:rsidRPr="00A723AF">
        <w:rPr>
          <w:lang w:val="en-GB"/>
        </w:rPr>
        <w:t xml:space="preserve"> was less affected, maintaining a nearly constant concentration (</w:t>
      </w:r>
      <w:r w:rsidR="00C4361C" w:rsidRPr="00A723AF">
        <w:rPr>
          <w:rFonts w:cs="Arial"/>
          <w:lang w:val="en-GB"/>
        </w:rPr>
        <w:t>~</w:t>
      </w:r>
      <w:r w:rsidRPr="00A723AF">
        <w:rPr>
          <w:lang w:val="en-GB"/>
        </w:rPr>
        <w:t>4.5 mg/L). Although the HMs were present in lower amounts due to NaCl-induced volatilization, they appeared more mobilized and easily leachable, partially counteracting this advantage. In any case, the overall effect was positive; however, attention should still be paid to Ni due to its relatively high concentration.</w:t>
      </w:r>
    </w:p>
    <w:p w14:paraId="28191B1A" w14:textId="7AF52013" w:rsidR="00C4361C" w:rsidRPr="00A723AF" w:rsidRDefault="00C4361C" w:rsidP="000C5EAD">
      <w:pPr>
        <w:pStyle w:val="CETBodytext"/>
        <w:rPr>
          <w:lang w:val="en-GB"/>
        </w:rPr>
      </w:pPr>
      <w:r w:rsidRPr="00A723AF">
        <w:rPr>
          <w:lang w:val="en-GB"/>
        </w:rPr>
        <w:t>Cd</w:t>
      </w:r>
      <w:r w:rsidRPr="00A723AF">
        <w:rPr>
          <w:vertAlign w:val="superscript"/>
          <w:lang w:val="en-GB"/>
        </w:rPr>
        <w:t>2+</w:t>
      </w:r>
      <w:r w:rsidRPr="00A723AF">
        <w:rPr>
          <w:lang w:val="en-GB"/>
        </w:rPr>
        <w:t xml:space="preserve"> and Cr</w:t>
      </w:r>
      <w:r w:rsidRPr="00A723AF">
        <w:rPr>
          <w:vertAlign w:val="superscript"/>
          <w:lang w:val="en-GB"/>
        </w:rPr>
        <w:t>3+</w:t>
      </w:r>
      <w:r w:rsidRPr="00A723AF">
        <w:rPr>
          <w:lang w:val="en-GB"/>
        </w:rPr>
        <w:t xml:space="preserve"> were not detected in the leachate from 6%NaCl ash.</w:t>
      </w:r>
    </w:p>
    <w:p w14:paraId="2B050119" w14:textId="76BFAF7E" w:rsidR="00630DB6" w:rsidRPr="00A723AF" w:rsidRDefault="00630DB6" w:rsidP="00630DB6">
      <w:pPr>
        <w:pStyle w:val="CETheadingx"/>
      </w:pPr>
      <w:r w:rsidRPr="00A723AF">
        <w:t xml:space="preserve">Precipitation </w:t>
      </w:r>
    </w:p>
    <w:p w14:paraId="1A724ED5" w14:textId="01487843" w:rsidR="003F2C8D" w:rsidRPr="00A723AF" w:rsidRDefault="003F2C8D" w:rsidP="003F2C8D">
      <w:pPr>
        <w:pStyle w:val="CETBodytext"/>
      </w:pPr>
      <w:r w:rsidRPr="00A723AF">
        <w:t>Preliminary tests were carried out evaluating P % precipitated at varying Ca/P molar ratios, and results are shown in Figure 4</w:t>
      </w:r>
      <w:r w:rsidR="00113640">
        <w:t>a</w:t>
      </w:r>
      <w:r w:rsidRPr="00A723AF">
        <w:t>.</w:t>
      </w:r>
    </w:p>
    <w:p w14:paraId="629E8E10" w14:textId="648EFDFC" w:rsidR="003F2C8D" w:rsidRPr="00A723AF" w:rsidRDefault="008926D4" w:rsidP="003F2C8D">
      <w:pPr>
        <w:pStyle w:val="CETBodytext"/>
      </w:pPr>
      <w:r>
        <w:rPr>
          <w:noProof/>
        </w:rPr>
        <w:lastRenderedPageBreak/>
        <w:drawing>
          <wp:anchor distT="0" distB="0" distL="114300" distR="114300" simplePos="0" relativeHeight="251674624" behindDoc="0" locked="0" layoutInCell="1" allowOverlap="1" wp14:anchorId="5D7D4A0D" wp14:editId="02CF2BCA">
            <wp:simplePos x="0" y="0"/>
            <wp:positionH relativeFrom="margin">
              <wp:posOffset>2546089</wp:posOffset>
            </wp:positionH>
            <wp:positionV relativeFrom="paragraph">
              <wp:posOffset>13559</wp:posOffset>
            </wp:positionV>
            <wp:extent cx="2769870" cy="1474694"/>
            <wp:effectExtent l="0" t="0" r="0" b="0"/>
            <wp:wrapNone/>
            <wp:docPr id="1707701863" name="Grafico 1">
              <a:extLst xmlns:a="http://schemas.openxmlformats.org/drawingml/2006/main">
                <a:ext uri="{FF2B5EF4-FFF2-40B4-BE49-F238E27FC236}">
                  <a16:creationId xmlns:a16="http://schemas.microsoft.com/office/drawing/2014/main" id="{F7A6A0C9-19FD-42BA-9B0A-6FD604686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3F2C8D" w:rsidRPr="00A723AF">
        <w:rPr>
          <w:noProof/>
        </w:rPr>
        <w:drawing>
          <wp:inline distT="0" distB="0" distL="0" distR="0" wp14:anchorId="400E12A7" wp14:editId="64D37FFE">
            <wp:extent cx="2756535" cy="1573306"/>
            <wp:effectExtent l="0" t="0" r="5715" b="8255"/>
            <wp:docPr id="2145348882" name="Grafico 1">
              <a:extLst xmlns:a="http://schemas.openxmlformats.org/drawingml/2006/main">
                <a:ext uri="{FF2B5EF4-FFF2-40B4-BE49-F238E27FC236}">
                  <a16:creationId xmlns:a16="http://schemas.microsoft.com/office/drawing/2014/main" id="{50780266-6121-F3F7-549E-3F5B79784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236E33" w14:textId="3A2308CB" w:rsidR="003F2C8D" w:rsidRPr="00A723AF" w:rsidRDefault="003F2C8D" w:rsidP="003F2C8D">
      <w:pPr>
        <w:pStyle w:val="CETCaption"/>
      </w:pPr>
      <w:r w:rsidRPr="00A723AF">
        <w:rPr>
          <w:rStyle w:val="CETCaptionCarattere"/>
          <w:i/>
        </w:rPr>
        <w:t xml:space="preserve">Figure </w:t>
      </w:r>
      <w:r w:rsidR="005306AC" w:rsidRPr="00A723AF">
        <w:rPr>
          <w:rStyle w:val="CETCaptionCarattere"/>
          <w:i/>
        </w:rPr>
        <w:t>4</w:t>
      </w:r>
      <w:r w:rsidRPr="00A723AF">
        <w:rPr>
          <w:rStyle w:val="CETCaptionCarattere"/>
          <w:i/>
        </w:rPr>
        <w:t xml:space="preserve">: </w:t>
      </w:r>
      <w:r w:rsidR="008926D4">
        <w:rPr>
          <w:rStyle w:val="CETCaptionCarattere"/>
          <w:i/>
        </w:rPr>
        <w:t xml:space="preserve">a) </w:t>
      </w:r>
      <w:r w:rsidR="00C041A7" w:rsidRPr="00A723AF">
        <w:rPr>
          <w:rStyle w:val="CETCaptionCarattere"/>
          <w:i/>
        </w:rPr>
        <w:t>P precipitation yields (%) at varying Ca/P molar ratio after 24 h at 30 °C and pH 10.</w:t>
      </w:r>
      <w:r w:rsidR="008926D4">
        <w:rPr>
          <w:rStyle w:val="CETCaptionCarattere"/>
          <w:i/>
        </w:rPr>
        <w:t xml:space="preserve"> b) HMs concentration in the supernatant post precipitation (</w:t>
      </w:r>
      <w:r w:rsidR="008926D4" w:rsidRPr="00A723AF">
        <w:rPr>
          <w:rStyle w:val="CETCaptionCarattere"/>
          <w:i/>
        </w:rPr>
        <w:t>Ca/P</w:t>
      </w:r>
      <w:r w:rsidR="00113640">
        <w:rPr>
          <w:rStyle w:val="CETCaptionCarattere"/>
          <w:i/>
        </w:rPr>
        <w:t xml:space="preserve"> =</w:t>
      </w:r>
      <w:r w:rsidR="008926D4" w:rsidRPr="00A723AF">
        <w:rPr>
          <w:rStyle w:val="CETCaptionCarattere"/>
          <w:i/>
        </w:rPr>
        <w:t xml:space="preserve"> </w:t>
      </w:r>
      <w:r w:rsidR="008926D4">
        <w:rPr>
          <w:rStyle w:val="CETCaptionCarattere"/>
          <w:i/>
        </w:rPr>
        <w:t>2</w:t>
      </w:r>
      <w:r w:rsidR="00113640">
        <w:rPr>
          <w:rStyle w:val="CETCaptionCarattere"/>
          <w:i/>
        </w:rPr>
        <w:t>, EDTA 0.8 g/L</w:t>
      </w:r>
      <w:r w:rsidR="008926D4">
        <w:rPr>
          <w:rStyle w:val="CETCaptionCarattere"/>
          <w:i/>
        </w:rPr>
        <w:t>)</w:t>
      </w:r>
      <w:r w:rsidR="00113640">
        <w:rPr>
          <w:rStyle w:val="CETCaptionCarattere"/>
          <w:i/>
        </w:rPr>
        <w:t>; Cd and Cr resulted &lt;LOD.</w:t>
      </w:r>
    </w:p>
    <w:p w14:paraId="073FF7A8" w14:textId="02CC4E92" w:rsidR="00C041A7" w:rsidRPr="00A723AF" w:rsidRDefault="00C041A7" w:rsidP="00C041A7">
      <w:pPr>
        <w:pStyle w:val="CETBodytext"/>
      </w:pPr>
      <w:r w:rsidRPr="00A723AF">
        <w:t>The precipitation percentage increased with increasing Ca/P ratio until reaching a plateau. At a Ca/P ratio of 1.5, precipitation was 86% and increased linearly to 97% at a Ca/P ratio of 2.0; above 2.2, precipitation yields exceeded 98%.</w:t>
      </w:r>
    </w:p>
    <w:p w14:paraId="4A96FD52" w14:textId="12A1E130" w:rsidR="00C041A7" w:rsidRPr="00A723AF" w:rsidRDefault="00C041A7" w:rsidP="00C041A7">
      <w:pPr>
        <w:pStyle w:val="CETBodytext"/>
      </w:pPr>
      <w:proofErr w:type="gramStart"/>
      <w:r w:rsidRPr="00A723AF">
        <w:t>Ca(</w:t>
      </w:r>
      <w:proofErr w:type="gramEnd"/>
      <w:r w:rsidRPr="00A723AF">
        <w:t>OH)</w:t>
      </w:r>
      <w:r w:rsidRPr="00A723AF">
        <w:rPr>
          <w:vertAlign w:val="subscript"/>
        </w:rPr>
        <w:t>2</w:t>
      </w:r>
      <w:r w:rsidRPr="00A723AF">
        <w:t xml:space="preserve"> proved to be an effective precipitating agent, promoting the formation of AIP as Ca</w:t>
      </w:r>
      <w:r w:rsidRPr="00A723AF">
        <w:rPr>
          <w:vertAlign w:val="subscript"/>
        </w:rPr>
        <w:t>3</w:t>
      </w:r>
      <w:r w:rsidRPr="00A723AF">
        <w:t>(PO</w:t>
      </w:r>
      <w:r w:rsidRPr="00A723AF">
        <w:rPr>
          <w:vertAlign w:val="subscript"/>
        </w:rPr>
        <w:t>4</w:t>
      </w:r>
      <w:r w:rsidRPr="00A723AF">
        <w:t>)</w:t>
      </w:r>
      <w:r w:rsidRPr="00A723AF">
        <w:rPr>
          <w:vertAlign w:val="subscript"/>
        </w:rPr>
        <w:t>2</w:t>
      </w:r>
      <w:r w:rsidRPr="00A723AF">
        <w:t xml:space="preserve">. Although the stoichiometric Ca/P ratio is 1.5, this condition resulted in an unsatisfactory precipitation yield. Literature reports an optimal Ca/P ratio of 1.67 for hydroxyapatite formation, typically with a slight excess of Ca </w:t>
      </w:r>
      <w:sdt>
        <w:sdtPr>
          <w:rPr>
            <w:rFonts w:cs="Arial"/>
            <w:color w:val="000000"/>
          </w:rPr>
          <w:tag w:val="MENDELEY_CITATION_v3_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"/>
          <w:id w:val="562308015"/>
          <w:placeholder>
            <w:docPart w:val="DefaultPlaceholder_-1854013440"/>
          </w:placeholder>
        </w:sdtPr>
        <w:sdtContent>
          <w:r w:rsidR="007A2EFD" w:rsidRPr="007A2EFD">
            <w:rPr>
              <w:rFonts w:cs="Arial"/>
              <w:color w:val="000000"/>
            </w:rPr>
            <w:t>(Yang et al., 2022)</w:t>
          </w:r>
        </w:sdtContent>
      </w:sdt>
      <w:r w:rsidRPr="00A723AF">
        <w:t>. In this study, the optimal Ca/P ratio was identified as 2.0, achieving a precipitation percentage of 97%, which was considered acceptable; therefore, a subsequent EDTA (0.8 g/L)-assisted precipitation step was performed at Ca/P = 2 to avoid HMs precipitation</w:t>
      </w:r>
      <w:r w:rsidR="00113640">
        <w:t xml:space="preserve"> (Figure 4b)</w:t>
      </w:r>
      <w:r w:rsidRPr="00A723AF">
        <w:t>, especially for Ni</w:t>
      </w:r>
      <w:r w:rsidRPr="00A723AF">
        <w:rPr>
          <w:vertAlign w:val="superscript"/>
        </w:rPr>
        <w:t>2+</w:t>
      </w:r>
      <w:r w:rsidRPr="00A723AF">
        <w:t>. In fact, EDTA acts as a chelating agent for HMs.</w:t>
      </w:r>
    </w:p>
    <w:p w14:paraId="1FC0C1F2" w14:textId="34E15F05" w:rsidR="003F2C8D" w:rsidRPr="00A723AF" w:rsidRDefault="00C041A7" w:rsidP="00C041A7">
      <w:pPr>
        <w:pStyle w:val="CETBodytext"/>
      </w:pPr>
      <w:r w:rsidRPr="00A723AF">
        <w:t xml:space="preserve">The precipitate was </w:t>
      </w:r>
      <w:r w:rsidR="001E06E0" w:rsidRPr="00A723AF">
        <w:t>subjected to acid digestion</w:t>
      </w:r>
      <w:r w:rsidRPr="00A723AF">
        <w:t>, and the results are shown in Table 1.</w:t>
      </w:r>
    </w:p>
    <w:p w14:paraId="21E43C12" w14:textId="3E77313D" w:rsidR="00801F74" w:rsidRPr="00A723AF" w:rsidRDefault="00801F74" w:rsidP="00B0624C">
      <w:pPr>
        <w:pStyle w:val="CETTabletitle"/>
        <w:jc w:val="both"/>
      </w:pPr>
      <w:r w:rsidRPr="00A723AF">
        <w:t xml:space="preserve">Table 1: P-based fertilizer </w:t>
      </w:r>
      <w:r w:rsidR="00301021">
        <w:t xml:space="preserve">and leachate </w:t>
      </w:r>
      <w:r w:rsidRPr="00A723AF">
        <w:t>composition.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062"/>
        <w:gridCol w:w="907"/>
        <w:gridCol w:w="907"/>
        <w:gridCol w:w="907"/>
        <w:gridCol w:w="907"/>
        <w:gridCol w:w="907"/>
        <w:gridCol w:w="907"/>
        <w:gridCol w:w="907"/>
      </w:tblGrid>
      <w:tr w:rsidR="00513288" w:rsidRPr="00A723AF" w14:paraId="47917F79" w14:textId="6E3C6E96" w:rsidTr="00B84250">
        <w:trPr>
          <w:trHeight w:val="227"/>
        </w:trPr>
        <w:tc>
          <w:tcPr>
            <w:tcW w:w="0" w:type="auto"/>
            <w:tcBorders>
              <w:top w:val="single" w:sz="12" w:space="0" w:color="008000"/>
              <w:bottom w:val="single" w:sz="4" w:space="0" w:color="008000"/>
            </w:tcBorders>
            <w:shd w:val="clear" w:color="auto" w:fill="FFFFFF"/>
          </w:tcPr>
          <w:p w14:paraId="4003D358" w14:textId="503A8946" w:rsidR="00513288" w:rsidRPr="00A723AF" w:rsidRDefault="00513288" w:rsidP="00B84250">
            <w:pPr>
              <w:pStyle w:val="CETBodytext"/>
              <w:jc w:val="center"/>
              <w:rPr>
                <w:lang w:val="en-GB"/>
              </w:rPr>
            </w:pPr>
          </w:p>
        </w:tc>
        <w:tc>
          <w:tcPr>
            <w:tcW w:w="907" w:type="dxa"/>
            <w:tcBorders>
              <w:top w:val="single" w:sz="12" w:space="0" w:color="008000"/>
              <w:bottom w:val="single" w:sz="4" w:space="0" w:color="008000"/>
            </w:tcBorders>
            <w:shd w:val="clear" w:color="auto" w:fill="FFFFFF"/>
          </w:tcPr>
          <w:p w14:paraId="6DCFB6E0" w14:textId="5FE3FCDB" w:rsidR="00513288" w:rsidRPr="00A723AF" w:rsidRDefault="00513288" w:rsidP="00B84250">
            <w:pPr>
              <w:pStyle w:val="CETBodytext"/>
              <w:jc w:val="center"/>
              <w:rPr>
                <w:lang w:val="en-GB"/>
              </w:rPr>
            </w:pPr>
            <w:r w:rsidRPr="00A723AF">
              <w:rPr>
                <w:lang w:val="en-GB"/>
              </w:rPr>
              <w:t>P</w:t>
            </w:r>
            <w:r w:rsidRPr="00A723AF">
              <w:rPr>
                <w:vertAlign w:val="subscript"/>
                <w:lang w:val="en-GB"/>
              </w:rPr>
              <w:t>2</w:t>
            </w:r>
            <w:r w:rsidRPr="00A723AF">
              <w:rPr>
                <w:lang w:val="en-GB"/>
              </w:rPr>
              <w:t>O</w:t>
            </w:r>
            <w:r w:rsidRPr="00A723AF">
              <w:rPr>
                <w:vertAlign w:val="subscript"/>
                <w:lang w:val="en-GB"/>
              </w:rPr>
              <w:t>5</w:t>
            </w:r>
          </w:p>
        </w:tc>
        <w:tc>
          <w:tcPr>
            <w:tcW w:w="907" w:type="dxa"/>
            <w:tcBorders>
              <w:top w:val="single" w:sz="12" w:space="0" w:color="008000"/>
              <w:bottom w:val="single" w:sz="4" w:space="0" w:color="008000"/>
            </w:tcBorders>
            <w:shd w:val="clear" w:color="auto" w:fill="FFFFFF"/>
          </w:tcPr>
          <w:p w14:paraId="54A79C65" w14:textId="408198CE" w:rsidR="00513288" w:rsidRPr="00A723AF" w:rsidRDefault="00513288" w:rsidP="00B84250">
            <w:pPr>
              <w:pStyle w:val="CETBodytext"/>
              <w:jc w:val="center"/>
              <w:rPr>
                <w:lang w:val="en-GB"/>
              </w:rPr>
            </w:pPr>
            <w:r w:rsidRPr="00A723AF">
              <w:rPr>
                <w:lang w:val="en-GB"/>
              </w:rPr>
              <w:t>Ni</w:t>
            </w:r>
          </w:p>
        </w:tc>
        <w:tc>
          <w:tcPr>
            <w:tcW w:w="907" w:type="dxa"/>
            <w:tcBorders>
              <w:bottom w:val="single" w:sz="4" w:space="0" w:color="008000"/>
            </w:tcBorders>
          </w:tcPr>
          <w:p w14:paraId="5BDA1AEE" w14:textId="292DA9CE" w:rsidR="00513288" w:rsidRPr="00A723AF" w:rsidRDefault="00513288" w:rsidP="00B84250">
            <w:pPr>
              <w:pStyle w:val="CETBodytext"/>
              <w:ind w:right="-1"/>
              <w:jc w:val="center"/>
              <w:rPr>
                <w:rFonts w:cs="Arial"/>
                <w:szCs w:val="18"/>
                <w:lang w:val="en-GB"/>
              </w:rPr>
            </w:pPr>
            <w:r w:rsidRPr="00A723AF">
              <w:rPr>
                <w:rFonts w:cs="Arial"/>
                <w:szCs w:val="18"/>
                <w:lang w:val="en-GB"/>
              </w:rPr>
              <w:t>Pb</w:t>
            </w:r>
          </w:p>
        </w:tc>
        <w:tc>
          <w:tcPr>
            <w:tcW w:w="907" w:type="dxa"/>
            <w:tcBorders>
              <w:top w:val="single" w:sz="12" w:space="0" w:color="008000"/>
              <w:bottom w:val="single" w:sz="4" w:space="0" w:color="008000"/>
            </w:tcBorders>
            <w:shd w:val="clear" w:color="auto" w:fill="FFFFFF"/>
          </w:tcPr>
          <w:p w14:paraId="3D27B39F" w14:textId="23DAAAC6" w:rsidR="00513288" w:rsidRPr="00A723AF" w:rsidRDefault="00513288" w:rsidP="00B84250">
            <w:pPr>
              <w:pStyle w:val="CETBodytext"/>
              <w:ind w:right="-1"/>
              <w:jc w:val="center"/>
              <w:rPr>
                <w:rFonts w:cs="Arial"/>
                <w:szCs w:val="18"/>
                <w:lang w:val="en-GB"/>
              </w:rPr>
            </w:pPr>
            <w:r w:rsidRPr="00A723AF">
              <w:rPr>
                <w:rFonts w:cs="Arial"/>
                <w:szCs w:val="18"/>
                <w:lang w:val="en-GB"/>
              </w:rPr>
              <w:t>Cu</w:t>
            </w:r>
          </w:p>
        </w:tc>
        <w:tc>
          <w:tcPr>
            <w:tcW w:w="907" w:type="dxa"/>
            <w:tcBorders>
              <w:top w:val="single" w:sz="12" w:space="0" w:color="008000"/>
              <w:bottom w:val="single" w:sz="4" w:space="0" w:color="008000"/>
            </w:tcBorders>
            <w:shd w:val="clear" w:color="auto" w:fill="FFFFFF"/>
          </w:tcPr>
          <w:p w14:paraId="3722A7F0" w14:textId="19D5EF76" w:rsidR="00513288" w:rsidRPr="00A723AF" w:rsidRDefault="00513288" w:rsidP="00B84250">
            <w:pPr>
              <w:pStyle w:val="CETBodytext"/>
              <w:ind w:right="-1"/>
              <w:jc w:val="center"/>
              <w:rPr>
                <w:rFonts w:cs="Arial"/>
                <w:szCs w:val="18"/>
                <w:lang w:val="en-GB"/>
              </w:rPr>
            </w:pPr>
            <w:r w:rsidRPr="00A723AF">
              <w:rPr>
                <w:rFonts w:cs="Arial"/>
                <w:szCs w:val="18"/>
                <w:lang w:val="en-GB"/>
              </w:rPr>
              <w:t>Zn</w:t>
            </w:r>
          </w:p>
        </w:tc>
        <w:tc>
          <w:tcPr>
            <w:tcW w:w="907" w:type="dxa"/>
            <w:tcBorders>
              <w:bottom w:val="single" w:sz="4" w:space="0" w:color="008000"/>
            </w:tcBorders>
          </w:tcPr>
          <w:p w14:paraId="1F6B630F" w14:textId="0554690A" w:rsidR="00513288" w:rsidRPr="00A723AF" w:rsidRDefault="00513288" w:rsidP="00B84250">
            <w:pPr>
              <w:pStyle w:val="CETBodytext"/>
              <w:ind w:right="-1"/>
              <w:jc w:val="center"/>
              <w:rPr>
                <w:rFonts w:cs="Arial"/>
                <w:szCs w:val="18"/>
                <w:lang w:val="en-GB"/>
              </w:rPr>
            </w:pPr>
            <w:r w:rsidRPr="00A723AF">
              <w:rPr>
                <w:rFonts w:cs="Arial"/>
                <w:szCs w:val="18"/>
                <w:lang w:val="en-GB"/>
              </w:rPr>
              <w:t>Cd</w:t>
            </w:r>
          </w:p>
        </w:tc>
        <w:tc>
          <w:tcPr>
            <w:tcW w:w="907" w:type="dxa"/>
            <w:tcBorders>
              <w:bottom w:val="single" w:sz="4" w:space="0" w:color="008000"/>
            </w:tcBorders>
          </w:tcPr>
          <w:p w14:paraId="75C405F2" w14:textId="60F90E77" w:rsidR="00513288" w:rsidRPr="00A723AF" w:rsidRDefault="00513288" w:rsidP="00B84250">
            <w:pPr>
              <w:pStyle w:val="CETBodytext"/>
              <w:ind w:right="-1"/>
              <w:jc w:val="center"/>
              <w:rPr>
                <w:rFonts w:cs="Arial"/>
                <w:szCs w:val="18"/>
                <w:lang w:val="en-GB"/>
              </w:rPr>
            </w:pPr>
            <w:r w:rsidRPr="00A723AF">
              <w:rPr>
                <w:rFonts w:cs="Arial"/>
                <w:szCs w:val="18"/>
                <w:lang w:val="en-GB"/>
              </w:rPr>
              <w:t>Cr</w:t>
            </w:r>
          </w:p>
        </w:tc>
      </w:tr>
      <w:tr w:rsidR="00513288" w:rsidRPr="00A723AF" w14:paraId="5BB82FF7" w14:textId="7C250A66" w:rsidTr="00B84250">
        <w:trPr>
          <w:trHeight w:val="227"/>
        </w:trPr>
        <w:tc>
          <w:tcPr>
            <w:tcW w:w="0" w:type="auto"/>
            <w:tcBorders>
              <w:top w:val="single" w:sz="4" w:space="0" w:color="008000"/>
              <w:bottom w:val="nil"/>
            </w:tcBorders>
            <w:shd w:val="clear" w:color="auto" w:fill="FFFFFF"/>
          </w:tcPr>
          <w:p w14:paraId="33D42444" w14:textId="392E11E7" w:rsidR="00513288" w:rsidRPr="00A723AF" w:rsidRDefault="001E06E0" w:rsidP="00B84250">
            <w:pPr>
              <w:pStyle w:val="CETBodytext"/>
              <w:ind w:right="-1"/>
              <w:jc w:val="center"/>
              <w:rPr>
                <w:rFonts w:cs="Arial"/>
                <w:szCs w:val="18"/>
                <w:lang w:val="en-GB"/>
              </w:rPr>
            </w:pPr>
            <w:r w:rsidRPr="00A723AF">
              <w:rPr>
                <w:rFonts w:cs="Arial"/>
                <w:szCs w:val="18"/>
                <w:lang w:val="en-GB"/>
              </w:rPr>
              <w:t>Units</w:t>
            </w:r>
          </w:p>
        </w:tc>
        <w:tc>
          <w:tcPr>
            <w:tcW w:w="907" w:type="dxa"/>
            <w:tcBorders>
              <w:top w:val="single" w:sz="4" w:space="0" w:color="008000"/>
              <w:bottom w:val="nil"/>
            </w:tcBorders>
            <w:shd w:val="clear" w:color="auto" w:fill="FFFFFF"/>
          </w:tcPr>
          <w:p w14:paraId="6C802057" w14:textId="06510183" w:rsidR="00513288" w:rsidRPr="00A723AF" w:rsidRDefault="00513288" w:rsidP="00B84250">
            <w:pPr>
              <w:pStyle w:val="CETBodytext"/>
              <w:ind w:right="-1"/>
              <w:jc w:val="center"/>
              <w:rPr>
                <w:rFonts w:cs="Arial"/>
                <w:szCs w:val="18"/>
                <w:lang w:val="en-GB"/>
              </w:rPr>
            </w:pPr>
            <w:r w:rsidRPr="00A723AF">
              <w:rPr>
                <w:rFonts w:cs="Arial"/>
                <w:szCs w:val="18"/>
                <w:lang w:val="en-GB"/>
              </w:rPr>
              <w:t>%</w:t>
            </w:r>
          </w:p>
        </w:tc>
        <w:tc>
          <w:tcPr>
            <w:tcW w:w="907" w:type="dxa"/>
            <w:tcBorders>
              <w:top w:val="single" w:sz="4" w:space="0" w:color="008000"/>
              <w:bottom w:val="nil"/>
            </w:tcBorders>
            <w:shd w:val="clear" w:color="auto" w:fill="FFFFFF"/>
          </w:tcPr>
          <w:p w14:paraId="0A658911" w14:textId="16BD417B" w:rsidR="00513288" w:rsidRPr="00A723AF" w:rsidRDefault="00513288" w:rsidP="00B84250">
            <w:pPr>
              <w:pStyle w:val="CETBodytext"/>
              <w:ind w:right="-1"/>
              <w:jc w:val="center"/>
              <w:rPr>
                <w:rFonts w:cs="Arial"/>
                <w:szCs w:val="18"/>
                <w:lang w:val="en-GB"/>
              </w:rPr>
            </w:pPr>
            <w:r w:rsidRPr="00A723AF">
              <w:rPr>
                <w:rFonts w:cs="Arial"/>
                <w:szCs w:val="18"/>
                <w:lang w:val="en-GB"/>
              </w:rPr>
              <w:t>mg/kg</w:t>
            </w:r>
          </w:p>
        </w:tc>
        <w:tc>
          <w:tcPr>
            <w:tcW w:w="907" w:type="dxa"/>
            <w:tcBorders>
              <w:top w:val="single" w:sz="4" w:space="0" w:color="008000"/>
              <w:bottom w:val="nil"/>
            </w:tcBorders>
          </w:tcPr>
          <w:p w14:paraId="3CB5FC05" w14:textId="2939A017" w:rsidR="00513288" w:rsidRPr="00A723AF" w:rsidRDefault="00513288" w:rsidP="00B84250">
            <w:pPr>
              <w:pStyle w:val="CETBodytext"/>
              <w:ind w:right="-1"/>
              <w:jc w:val="center"/>
              <w:rPr>
                <w:rFonts w:cs="Arial"/>
                <w:szCs w:val="18"/>
                <w:lang w:val="en-GB"/>
              </w:rPr>
            </w:pPr>
            <w:r w:rsidRPr="00A723AF">
              <w:rPr>
                <w:rFonts w:cs="Arial"/>
                <w:szCs w:val="18"/>
                <w:lang w:val="en-GB"/>
              </w:rPr>
              <w:t>mg/kg</w:t>
            </w:r>
          </w:p>
        </w:tc>
        <w:tc>
          <w:tcPr>
            <w:tcW w:w="907" w:type="dxa"/>
            <w:tcBorders>
              <w:top w:val="single" w:sz="4" w:space="0" w:color="008000"/>
              <w:bottom w:val="nil"/>
            </w:tcBorders>
            <w:shd w:val="clear" w:color="auto" w:fill="FFFFFF"/>
          </w:tcPr>
          <w:p w14:paraId="74481489" w14:textId="22BF659A" w:rsidR="00513288" w:rsidRPr="00A723AF" w:rsidRDefault="00513288" w:rsidP="00B84250">
            <w:pPr>
              <w:pStyle w:val="CETBodytext"/>
              <w:ind w:right="-1"/>
              <w:jc w:val="center"/>
              <w:rPr>
                <w:rFonts w:cs="Arial"/>
                <w:szCs w:val="18"/>
                <w:lang w:val="en-GB"/>
              </w:rPr>
            </w:pPr>
            <w:r w:rsidRPr="00A723AF">
              <w:rPr>
                <w:rFonts w:cs="Arial"/>
                <w:szCs w:val="18"/>
                <w:lang w:val="en-GB"/>
              </w:rPr>
              <w:t>mg/kg</w:t>
            </w:r>
          </w:p>
        </w:tc>
        <w:tc>
          <w:tcPr>
            <w:tcW w:w="907" w:type="dxa"/>
            <w:tcBorders>
              <w:top w:val="single" w:sz="4" w:space="0" w:color="008000"/>
              <w:bottom w:val="nil"/>
            </w:tcBorders>
            <w:shd w:val="clear" w:color="auto" w:fill="FFFFFF"/>
          </w:tcPr>
          <w:p w14:paraId="0C48B0ED" w14:textId="23A99738" w:rsidR="00513288" w:rsidRPr="00A723AF" w:rsidRDefault="00513288" w:rsidP="00B84250">
            <w:pPr>
              <w:pStyle w:val="CETBodytext"/>
              <w:ind w:right="-1"/>
              <w:jc w:val="center"/>
              <w:rPr>
                <w:rFonts w:cs="Arial"/>
                <w:szCs w:val="18"/>
                <w:lang w:val="en-GB"/>
              </w:rPr>
            </w:pPr>
            <w:r w:rsidRPr="00A723AF">
              <w:rPr>
                <w:rFonts w:cs="Arial"/>
                <w:szCs w:val="18"/>
                <w:lang w:val="en-GB"/>
              </w:rPr>
              <w:t>mg/kg</w:t>
            </w:r>
          </w:p>
        </w:tc>
        <w:tc>
          <w:tcPr>
            <w:tcW w:w="907" w:type="dxa"/>
            <w:tcBorders>
              <w:top w:val="single" w:sz="4" w:space="0" w:color="008000"/>
              <w:bottom w:val="nil"/>
            </w:tcBorders>
          </w:tcPr>
          <w:p w14:paraId="340CE411" w14:textId="3C1B03C1" w:rsidR="00513288" w:rsidRPr="00A723AF" w:rsidRDefault="00513288" w:rsidP="00B84250">
            <w:pPr>
              <w:pStyle w:val="CETBodytext"/>
              <w:ind w:right="-1"/>
              <w:jc w:val="center"/>
              <w:rPr>
                <w:rFonts w:cs="Arial"/>
                <w:szCs w:val="18"/>
                <w:lang w:val="en-GB"/>
              </w:rPr>
            </w:pPr>
            <w:r w:rsidRPr="00A723AF">
              <w:rPr>
                <w:rFonts w:cs="Arial"/>
                <w:szCs w:val="18"/>
                <w:lang w:val="en-GB"/>
              </w:rPr>
              <w:t>mg/kg</w:t>
            </w:r>
          </w:p>
        </w:tc>
        <w:tc>
          <w:tcPr>
            <w:tcW w:w="907" w:type="dxa"/>
            <w:tcBorders>
              <w:top w:val="single" w:sz="4" w:space="0" w:color="008000"/>
              <w:bottom w:val="nil"/>
            </w:tcBorders>
          </w:tcPr>
          <w:p w14:paraId="6D962123" w14:textId="736BD6BB" w:rsidR="00513288" w:rsidRPr="00A723AF" w:rsidRDefault="00513288" w:rsidP="00B84250">
            <w:pPr>
              <w:pStyle w:val="CETBodytext"/>
              <w:ind w:right="-1"/>
              <w:jc w:val="center"/>
              <w:rPr>
                <w:rFonts w:cs="Arial"/>
                <w:szCs w:val="18"/>
                <w:lang w:val="en-GB"/>
              </w:rPr>
            </w:pPr>
            <w:r w:rsidRPr="00A723AF">
              <w:rPr>
                <w:rFonts w:cs="Arial"/>
                <w:szCs w:val="18"/>
                <w:lang w:val="en-GB"/>
              </w:rPr>
              <w:t>mg/kg</w:t>
            </w:r>
          </w:p>
        </w:tc>
      </w:tr>
      <w:tr w:rsidR="00513288" w:rsidRPr="00A723AF" w14:paraId="4D6C46C5" w14:textId="33822810" w:rsidTr="00B84250">
        <w:trPr>
          <w:trHeight w:val="227"/>
        </w:trPr>
        <w:tc>
          <w:tcPr>
            <w:tcW w:w="0" w:type="auto"/>
            <w:tcBorders>
              <w:top w:val="nil"/>
              <w:bottom w:val="nil"/>
            </w:tcBorders>
            <w:shd w:val="clear" w:color="auto" w:fill="FFFFFF"/>
          </w:tcPr>
          <w:p w14:paraId="4414F597" w14:textId="0DBAA33C" w:rsidR="00513288" w:rsidRPr="00A723AF" w:rsidRDefault="00513288" w:rsidP="00B84250">
            <w:pPr>
              <w:pStyle w:val="CETBodytext"/>
              <w:ind w:right="-1"/>
              <w:jc w:val="center"/>
              <w:rPr>
                <w:rFonts w:cs="Arial"/>
                <w:szCs w:val="18"/>
                <w:lang w:val="en-GB"/>
              </w:rPr>
            </w:pPr>
            <w:r w:rsidRPr="00A723AF">
              <w:rPr>
                <w:rFonts w:cs="Arial"/>
                <w:szCs w:val="18"/>
                <w:lang w:val="en-GB"/>
              </w:rPr>
              <w:t>P-based fertilizer</w:t>
            </w:r>
          </w:p>
        </w:tc>
        <w:tc>
          <w:tcPr>
            <w:tcW w:w="907" w:type="dxa"/>
            <w:tcBorders>
              <w:top w:val="nil"/>
              <w:bottom w:val="nil"/>
            </w:tcBorders>
            <w:shd w:val="clear" w:color="auto" w:fill="FFFFFF"/>
          </w:tcPr>
          <w:p w14:paraId="731E7A0B" w14:textId="66A12683" w:rsidR="00513288" w:rsidRPr="00A723AF" w:rsidRDefault="00B84250" w:rsidP="00B84250">
            <w:pPr>
              <w:pStyle w:val="CETBodytext"/>
              <w:ind w:right="-1"/>
              <w:jc w:val="center"/>
              <w:rPr>
                <w:rFonts w:cs="Arial"/>
                <w:szCs w:val="18"/>
                <w:lang w:val="en-GB"/>
              </w:rPr>
            </w:pPr>
            <w:r w:rsidRPr="00A723AF">
              <w:rPr>
                <w:rFonts w:cs="Arial"/>
                <w:szCs w:val="18"/>
                <w:lang w:val="en-GB"/>
              </w:rPr>
              <w:t>29.8</w:t>
            </w:r>
          </w:p>
        </w:tc>
        <w:tc>
          <w:tcPr>
            <w:tcW w:w="907" w:type="dxa"/>
            <w:tcBorders>
              <w:top w:val="nil"/>
              <w:bottom w:val="nil"/>
            </w:tcBorders>
            <w:shd w:val="clear" w:color="auto" w:fill="FFFFFF"/>
          </w:tcPr>
          <w:p w14:paraId="733CF02E" w14:textId="2E7254E8" w:rsidR="00513288" w:rsidRPr="00A723AF" w:rsidRDefault="00B84250" w:rsidP="00B84250">
            <w:pPr>
              <w:pStyle w:val="CETBodytext"/>
              <w:ind w:right="-1"/>
              <w:jc w:val="center"/>
              <w:rPr>
                <w:rFonts w:cs="Arial"/>
                <w:szCs w:val="18"/>
                <w:lang w:val="en-GB"/>
              </w:rPr>
            </w:pPr>
            <w:r w:rsidRPr="00A723AF">
              <w:rPr>
                <w:rFonts w:cs="Arial"/>
                <w:szCs w:val="18"/>
                <w:lang w:val="en-GB"/>
              </w:rPr>
              <w:t>40.1</w:t>
            </w:r>
          </w:p>
        </w:tc>
        <w:tc>
          <w:tcPr>
            <w:tcW w:w="907" w:type="dxa"/>
            <w:tcBorders>
              <w:top w:val="nil"/>
              <w:bottom w:val="nil"/>
            </w:tcBorders>
          </w:tcPr>
          <w:p w14:paraId="7DE96DA1" w14:textId="0B86AAFF" w:rsidR="00513288" w:rsidRPr="00A723AF" w:rsidRDefault="00206E71" w:rsidP="00B84250">
            <w:pPr>
              <w:pStyle w:val="CETBodytext"/>
              <w:ind w:right="-1"/>
              <w:jc w:val="center"/>
              <w:rPr>
                <w:rFonts w:cs="Arial"/>
                <w:szCs w:val="18"/>
                <w:lang w:val="en-GB"/>
              </w:rPr>
            </w:pPr>
            <w:r w:rsidRPr="00A723AF">
              <w:rPr>
                <w:rFonts w:cs="Arial"/>
                <w:szCs w:val="18"/>
                <w:lang w:val="en-GB"/>
              </w:rPr>
              <w:t>7</w:t>
            </w:r>
            <w:r w:rsidR="00B84250" w:rsidRPr="00A723AF">
              <w:rPr>
                <w:rFonts w:cs="Arial"/>
                <w:szCs w:val="18"/>
                <w:lang w:val="en-GB"/>
              </w:rPr>
              <w:t>0.2</w:t>
            </w:r>
          </w:p>
        </w:tc>
        <w:tc>
          <w:tcPr>
            <w:tcW w:w="907" w:type="dxa"/>
            <w:tcBorders>
              <w:top w:val="nil"/>
              <w:bottom w:val="nil"/>
            </w:tcBorders>
            <w:shd w:val="clear" w:color="auto" w:fill="FFFFFF"/>
          </w:tcPr>
          <w:p w14:paraId="03D6FC0B" w14:textId="4201DEFE" w:rsidR="00513288" w:rsidRPr="00A723AF" w:rsidRDefault="00B84250" w:rsidP="00B84250">
            <w:pPr>
              <w:pStyle w:val="CETBodytext"/>
              <w:ind w:right="-1"/>
              <w:jc w:val="center"/>
              <w:rPr>
                <w:rFonts w:cs="Arial"/>
                <w:szCs w:val="18"/>
                <w:lang w:val="en-GB"/>
              </w:rPr>
            </w:pPr>
            <w:r w:rsidRPr="00A723AF">
              <w:rPr>
                <w:rFonts w:cs="Arial"/>
                <w:szCs w:val="18"/>
                <w:lang w:val="en-GB"/>
              </w:rPr>
              <w:t>283.5</w:t>
            </w:r>
          </w:p>
        </w:tc>
        <w:tc>
          <w:tcPr>
            <w:tcW w:w="907" w:type="dxa"/>
            <w:tcBorders>
              <w:top w:val="nil"/>
              <w:bottom w:val="nil"/>
            </w:tcBorders>
            <w:shd w:val="clear" w:color="auto" w:fill="FFFFFF"/>
          </w:tcPr>
          <w:p w14:paraId="698FD1B0" w14:textId="004F140F" w:rsidR="00513288" w:rsidRPr="00A723AF" w:rsidRDefault="00B84250" w:rsidP="00B84250">
            <w:pPr>
              <w:pStyle w:val="CETBodytext"/>
              <w:ind w:right="-1"/>
              <w:jc w:val="center"/>
              <w:rPr>
                <w:rFonts w:cs="Arial"/>
                <w:szCs w:val="18"/>
                <w:lang w:val="en-GB"/>
              </w:rPr>
            </w:pPr>
            <w:r w:rsidRPr="00A723AF">
              <w:rPr>
                <w:rFonts w:cs="Arial"/>
                <w:szCs w:val="18"/>
                <w:lang w:val="en-GB"/>
              </w:rPr>
              <w:t>465.9</w:t>
            </w:r>
          </w:p>
        </w:tc>
        <w:tc>
          <w:tcPr>
            <w:tcW w:w="907" w:type="dxa"/>
            <w:tcBorders>
              <w:top w:val="nil"/>
              <w:bottom w:val="nil"/>
            </w:tcBorders>
          </w:tcPr>
          <w:p w14:paraId="2347BA77" w14:textId="40709A5C" w:rsidR="00513288" w:rsidRPr="00A723AF" w:rsidRDefault="00B84250" w:rsidP="00B84250">
            <w:pPr>
              <w:pStyle w:val="CETBodytext"/>
              <w:ind w:right="-1"/>
              <w:jc w:val="center"/>
              <w:rPr>
                <w:rFonts w:cs="Arial"/>
                <w:szCs w:val="18"/>
                <w:lang w:val="en-GB"/>
              </w:rPr>
            </w:pPr>
            <w:r w:rsidRPr="00A723AF">
              <w:rPr>
                <w:rFonts w:cs="Arial"/>
                <w:szCs w:val="18"/>
                <w:lang w:val="en-GB"/>
              </w:rPr>
              <w:t>1.7</w:t>
            </w:r>
          </w:p>
        </w:tc>
        <w:tc>
          <w:tcPr>
            <w:tcW w:w="907" w:type="dxa"/>
            <w:tcBorders>
              <w:top w:val="nil"/>
              <w:bottom w:val="nil"/>
            </w:tcBorders>
          </w:tcPr>
          <w:p w14:paraId="11C93A1B" w14:textId="53C6A9DA" w:rsidR="00513288" w:rsidRPr="00A723AF" w:rsidRDefault="00B84250" w:rsidP="00B84250">
            <w:pPr>
              <w:pStyle w:val="CETBodytext"/>
              <w:ind w:right="-1"/>
              <w:jc w:val="center"/>
              <w:rPr>
                <w:rFonts w:cs="Arial"/>
                <w:szCs w:val="18"/>
                <w:lang w:val="en-GB"/>
              </w:rPr>
            </w:pPr>
            <w:r w:rsidRPr="00A723AF">
              <w:rPr>
                <w:rFonts w:cs="Arial"/>
                <w:szCs w:val="18"/>
                <w:lang w:val="en-GB"/>
              </w:rPr>
              <w:t>2.6</w:t>
            </w:r>
          </w:p>
        </w:tc>
      </w:tr>
      <w:tr w:rsidR="00513288" w:rsidRPr="00A723AF" w14:paraId="0788EF60" w14:textId="77777777" w:rsidTr="00B84250">
        <w:trPr>
          <w:trHeight w:val="227"/>
        </w:trPr>
        <w:tc>
          <w:tcPr>
            <w:tcW w:w="0" w:type="auto"/>
            <w:tcBorders>
              <w:top w:val="nil"/>
              <w:bottom w:val="single" w:sz="12" w:space="0" w:color="008000"/>
            </w:tcBorders>
            <w:shd w:val="clear" w:color="auto" w:fill="FFFFFF"/>
          </w:tcPr>
          <w:p w14:paraId="6E682D06" w14:textId="44E64038" w:rsidR="00513288" w:rsidRPr="00A723AF" w:rsidRDefault="00513288" w:rsidP="00B84250">
            <w:pPr>
              <w:pStyle w:val="CETBodytext"/>
              <w:ind w:right="-1"/>
              <w:jc w:val="center"/>
              <w:rPr>
                <w:rFonts w:cs="Arial"/>
                <w:szCs w:val="18"/>
                <w:lang w:val="en-GB"/>
              </w:rPr>
            </w:pPr>
            <w:r w:rsidRPr="00A723AF">
              <w:rPr>
                <w:rFonts w:cs="Arial"/>
                <w:szCs w:val="18"/>
                <w:lang w:val="en-GB"/>
              </w:rPr>
              <w:t>EU Regulation 1009/2019</w:t>
            </w:r>
          </w:p>
        </w:tc>
        <w:tc>
          <w:tcPr>
            <w:tcW w:w="907" w:type="dxa"/>
            <w:tcBorders>
              <w:top w:val="nil"/>
              <w:bottom w:val="single" w:sz="12" w:space="0" w:color="008000"/>
            </w:tcBorders>
            <w:shd w:val="clear" w:color="auto" w:fill="FFFFFF"/>
          </w:tcPr>
          <w:p w14:paraId="2D943DCF" w14:textId="2FDD9157" w:rsidR="00513288" w:rsidRPr="00A723AF" w:rsidRDefault="00B84250" w:rsidP="00B84250">
            <w:pPr>
              <w:pStyle w:val="CETBodytext"/>
              <w:ind w:right="-1"/>
              <w:jc w:val="center"/>
              <w:rPr>
                <w:rFonts w:cs="Arial"/>
                <w:szCs w:val="18"/>
                <w:lang w:val="en-GB"/>
              </w:rPr>
            </w:pPr>
            <w:r w:rsidRPr="00A723AF">
              <w:rPr>
                <w:rFonts w:cs="Arial"/>
                <w:szCs w:val="18"/>
                <w:lang w:val="en-GB"/>
              </w:rPr>
              <w:t>&gt;5</w:t>
            </w:r>
          </w:p>
        </w:tc>
        <w:tc>
          <w:tcPr>
            <w:tcW w:w="907" w:type="dxa"/>
            <w:tcBorders>
              <w:top w:val="nil"/>
              <w:bottom w:val="single" w:sz="12" w:space="0" w:color="008000"/>
            </w:tcBorders>
            <w:shd w:val="clear" w:color="auto" w:fill="FFFFFF"/>
          </w:tcPr>
          <w:p w14:paraId="2B140724" w14:textId="622AD463" w:rsidR="00513288" w:rsidRPr="00A723AF" w:rsidRDefault="00B84250" w:rsidP="00B84250">
            <w:pPr>
              <w:pStyle w:val="CETBodytext"/>
              <w:ind w:right="-1"/>
              <w:jc w:val="center"/>
              <w:rPr>
                <w:rFonts w:cs="Arial"/>
                <w:szCs w:val="18"/>
                <w:lang w:val="en-GB"/>
              </w:rPr>
            </w:pPr>
            <w:r w:rsidRPr="00A723AF">
              <w:rPr>
                <w:rFonts w:cs="Arial"/>
                <w:szCs w:val="18"/>
                <w:lang w:val="en-GB"/>
              </w:rPr>
              <w:t>50</w:t>
            </w:r>
          </w:p>
        </w:tc>
        <w:tc>
          <w:tcPr>
            <w:tcW w:w="907" w:type="dxa"/>
            <w:tcBorders>
              <w:top w:val="nil"/>
              <w:bottom w:val="single" w:sz="12" w:space="0" w:color="008000"/>
            </w:tcBorders>
          </w:tcPr>
          <w:p w14:paraId="3A62BADB" w14:textId="643F7CFA" w:rsidR="00513288" w:rsidRPr="00A723AF" w:rsidRDefault="00B84250" w:rsidP="00B84250">
            <w:pPr>
              <w:pStyle w:val="CETBodytext"/>
              <w:ind w:right="-1"/>
              <w:jc w:val="center"/>
              <w:rPr>
                <w:rFonts w:cs="Arial"/>
                <w:szCs w:val="18"/>
                <w:lang w:val="en-GB"/>
              </w:rPr>
            </w:pPr>
            <w:r w:rsidRPr="00A723AF">
              <w:rPr>
                <w:rFonts w:cs="Arial"/>
                <w:szCs w:val="18"/>
                <w:lang w:val="en-GB"/>
              </w:rPr>
              <w:t>120</w:t>
            </w:r>
          </w:p>
        </w:tc>
        <w:tc>
          <w:tcPr>
            <w:tcW w:w="907" w:type="dxa"/>
            <w:tcBorders>
              <w:top w:val="nil"/>
              <w:bottom w:val="single" w:sz="12" w:space="0" w:color="008000"/>
            </w:tcBorders>
            <w:shd w:val="clear" w:color="auto" w:fill="FFFFFF"/>
          </w:tcPr>
          <w:p w14:paraId="78A74809" w14:textId="751A5879" w:rsidR="00513288" w:rsidRPr="00A723AF" w:rsidRDefault="00B84250" w:rsidP="00B84250">
            <w:pPr>
              <w:pStyle w:val="CETBodytext"/>
              <w:ind w:right="-1"/>
              <w:jc w:val="center"/>
              <w:rPr>
                <w:rFonts w:cs="Arial"/>
                <w:szCs w:val="18"/>
                <w:lang w:val="en-GB"/>
              </w:rPr>
            </w:pPr>
            <w:r w:rsidRPr="00A723AF">
              <w:rPr>
                <w:rFonts w:cs="Arial"/>
                <w:szCs w:val="18"/>
                <w:lang w:val="en-GB"/>
              </w:rPr>
              <w:t>600</w:t>
            </w:r>
          </w:p>
        </w:tc>
        <w:tc>
          <w:tcPr>
            <w:tcW w:w="907" w:type="dxa"/>
            <w:tcBorders>
              <w:top w:val="nil"/>
              <w:bottom w:val="single" w:sz="12" w:space="0" w:color="008000"/>
            </w:tcBorders>
            <w:shd w:val="clear" w:color="auto" w:fill="FFFFFF"/>
          </w:tcPr>
          <w:p w14:paraId="4483715D" w14:textId="66CF0C56" w:rsidR="00513288" w:rsidRPr="00A723AF" w:rsidRDefault="00B84250" w:rsidP="00B84250">
            <w:pPr>
              <w:pStyle w:val="CETBodytext"/>
              <w:ind w:right="-1"/>
              <w:jc w:val="center"/>
              <w:rPr>
                <w:rFonts w:cs="Arial"/>
                <w:szCs w:val="18"/>
                <w:lang w:val="en-GB"/>
              </w:rPr>
            </w:pPr>
            <w:r w:rsidRPr="00A723AF">
              <w:rPr>
                <w:rFonts w:cs="Arial"/>
                <w:szCs w:val="18"/>
                <w:lang w:val="en-GB"/>
              </w:rPr>
              <w:t>1500</w:t>
            </w:r>
          </w:p>
        </w:tc>
        <w:tc>
          <w:tcPr>
            <w:tcW w:w="907" w:type="dxa"/>
            <w:tcBorders>
              <w:top w:val="nil"/>
              <w:bottom w:val="single" w:sz="12" w:space="0" w:color="008000"/>
            </w:tcBorders>
          </w:tcPr>
          <w:p w14:paraId="01A0CC70" w14:textId="5BB88514" w:rsidR="00513288" w:rsidRPr="00A723AF" w:rsidRDefault="00206E71" w:rsidP="00B84250">
            <w:pPr>
              <w:pStyle w:val="CETBodytext"/>
              <w:ind w:right="-1"/>
              <w:jc w:val="center"/>
              <w:rPr>
                <w:rFonts w:cs="Arial"/>
                <w:szCs w:val="18"/>
                <w:lang w:val="en-GB"/>
              </w:rPr>
            </w:pPr>
            <w:r w:rsidRPr="00A723AF">
              <w:rPr>
                <w:rFonts w:cs="Arial"/>
                <w:szCs w:val="18"/>
                <w:lang w:val="en-GB"/>
              </w:rPr>
              <w:t>40</w:t>
            </w:r>
          </w:p>
        </w:tc>
        <w:tc>
          <w:tcPr>
            <w:tcW w:w="907" w:type="dxa"/>
            <w:tcBorders>
              <w:top w:val="nil"/>
              <w:bottom w:val="single" w:sz="12" w:space="0" w:color="008000"/>
            </w:tcBorders>
          </w:tcPr>
          <w:p w14:paraId="10CF9B63" w14:textId="5CAD53C2" w:rsidR="00513288" w:rsidRPr="00A723AF" w:rsidRDefault="00206E71" w:rsidP="00B84250">
            <w:pPr>
              <w:pStyle w:val="CETBodytext"/>
              <w:ind w:right="-1"/>
              <w:jc w:val="center"/>
              <w:rPr>
                <w:rFonts w:cs="Arial"/>
                <w:szCs w:val="18"/>
                <w:lang w:val="en-GB"/>
              </w:rPr>
            </w:pPr>
            <w:r w:rsidRPr="00A723AF">
              <w:rPr>
                <w:rFonts w:cs="Arial"/>
                <w:szCs w:val="18"/>
                <w:lang w:val="en-GB"/>
              </w:rPr>
              <w:t>n.a.</w:t>
            </w:r>
          </w:p>
        </w:tc>
      </w:tr>
    </w:tbl>
    <w:p w14:paraId="4C42F6D3" w14:textId="77777777" w:rsidR="00801F74" w:rsidRPr="00A723AF" w:rsidRDefault="00801F74" w:rsidP="003F2C8D">
      <w:pPr>
        <w:pStyle w:val="CETBodytext"/>
      </w:pPr>
    </w:p>
    <w:p w14:paraId="575324FD" w14:textId="592E789E" w:rsidR="0024738F" w:rsidRPr="00A723AF" w:rsidRDefault="0024738F" w:rsidP="0024738F">
      <w:pPr>
        <w:pStyle w:val="CETBodytext"/>
      </w:pPr>
      <w:r w:rsidRPr="00A723AF">
        <w:t xml:space="preserve">Results proved that a P-based fertilizer was successfully synthesized according to EU Regulation 1009/2019. In fact, all HMs resulted in concentrations lower than the threshold limits, and the P content (as </w:t>
      </w:r>
      <w:r w:rsidRPr="00A723AF">
        <w:rPr>
          <w:lang w:val="en-GB"/>
        </w:rPr>
        <w:t>P</w:t>
      </w:r>
      <w:r w:rsidRPr="00A723AF">
        <w:rPr>
          <w:vertAlign w:val="subscript"/>
          <w:lang w:val="en-GB"/>
        </w:rPr>
        <w:t>2</w:t>
      </w:r>
      <w:r w:rsidRPr="00A723AF">
        <w:rPr>
          <w:lang w:val="en-GB"/>
        </w:rPr>
        <w:t>O</w:t>
      </w:r>
      <w:r w:rsidRPr="00A723AF">
        <w:rPr>
          <w:vertAlign w:val="subscript"/>
          <w:lang w:val="en-GB"/>
        </w:rPr>
        <w:t>5</w:t>
      </w:r>
      <w:r w:rsidRPr="00A723AF">
        <w:t>) was 298 g/kg. EDTA effectively partially inhibited Ni</w:t>
      </w:r>
      <w:r w:rsidRPr="00A723AF">
        <w:rPr>
          <w:vertAlign w:val="superscript"/>
        </w:rPr>
        <w:t>2+</w:t>
      </w:r>
      <w:r w:rsidRPr="00A723AF">
        <w:t xml:space="preserve"> precipitation, highlighting the importance of a suitable dosage. If all the Ni</w:t>
      </w:r>
      <w:r w:rsidRPr="00A723AF">
        <w:rPr>
          <w:vertAlign w:val="superscript"/>
        </w:rPr>
        <w:t>2+</w:t>
      </w:r>
      <w:r w:rsidRPr="00A723AF">
        <w:t xml:space="preserve"> present in the leachate had precipitated, a theoretical content of approximately 80 mg/kg would have been obtained, exceeding the threshold limits. An experimental value of 40 mg/kg was observed, indicating that EDTA effectively prevented at least 50% of Ni</w:t>
      </w:r>
      <w:r w:rsidRPr="00A723AF">
        <w:rPr>
          <w:vertAlign w:val="superscript"/>
        </w:rPr>
        <w:t>2+</w:t>
      </w:r>
      <w:r w:rsidRPr="00A723AF">
        <w:t xml:space="preserve"> from precipitating.</w:t>
      </w:r>
    </w:p>
    <w:p w14:paraId="37F8439F" w14:textId="635889B9" w:rsidR="0024738F" w:rsidRPr="00A723AF" w:rsidRDefault="0024738F" w:rsidP="0024738F">
      <w:pPr>
        <w:pStyle w:val="CETBodytext"/>
      </w:pPr>
      <w:r w:rsidRPr="00A723AF">
        <w:t xml:space="preserve">SEM-EDS further confirmed the </w:t>
      </w:r>
      <w:r w:rsidR="00301021">
        <w:t>findings from the acid digestion step</w:t>
      </w:r>
      <w:r w:rsidRPr="00A723AF">
        <w:t xml:space="preserve">, as shown in Figure 5. </w:t>
      </w:r>
    </w:p>
    <w:p w14:paraId="002FE84C" w14:textId="063E5E22" w:rsidR="0024738F" w:rsidRPr="00A723AF" w:rsidRDefault="0024738F" w:rsidP="0024738F">
      <w:pPr>
        <w:pStyle w:val="CETBodytext"/>
      </w:pPr>
    </w:p>
    <w:p w14:paraId="4FC572BE" w14:textId="277C7A6F" w:rsidR="0024738F" w:rsidRPr="00A723AF" w:rsidRDefault="00B0624C" w:rsidP="0024738F">
      <w:pPr>
        <w:pStyle w:val="CETBodytext"/>
      </w:pPr>
      <w:r w:rsidRPr="00A723AF">
        <w:rPr>
          <w:noProof/>
          <w:lang w:val="it-IT"/>
        </w:rPr>
        <w:drawing>
          <wp:anchor distT="0" distB="0" distL="114300" distR="114300" simplePos="0" relativeHeight="251669504" behindDoc="0" locked="0" layoutInCell="1" allowOverlap="1" wp14:anchorId="285FD9B6" wp14:editId="57FB1E53">
            <wp:simplePos x="0" y="0"/>
            <wp:positionH relativeFrom="margin">
              <wp:posOffset>2469552</wp:posOffset>
            </wp:positionH>
            <wp:positionV relativeFrom="paragraph">
              <wp:posOffset>78105</wp:posOffset>
            </wp:positionV>
            <wp:extent cx="1410335" cy="1223645"/>
            <wp:effectExtent l="0" t="0" r="0" b="0"/>
            <wp:wrapNone/>
            <wp:docPr id="187890015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0335"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23AF">
        <w:rPr>
          <w:noProof/>
        </w:rPr>
        <w:drawing>
          <wp:anchor distT="0" distB="0" distL="114300" distR="114300" simplePos="0" relativeHeight="251668480" behindDoc="0" locked="0" layoutInCell="1" allowOverlap="1" wp14:anchorId="577B2F6B" wp14:editId="6D71C279">
            <wp:simplePos x="0" y="0"/>
            <wp:positionH relativeFrom="column">
              <wp:posOffset>3878360</wp:posOffset>
            </wp:positionH>
            <wp:positionV relativeFrom="paragraph">
              <wp:posOffset>51659</wp:posOffset>
            </wp:positionV>
            <wp:extent cx="1553206" cy="1281953"/>
            <wp:effectExtent l="0" t="0" r="0" b="0"/>
            <wp:wrapNone/>
            <wp:docPr id="16572032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03283" name=""/>
                    <pic:cNvPicPr/>
                  </pic:nvPicPr>
                  <pic:blipFill>
                    <a:blip r:embed="rId22"/>
                    <a:stretch>
                      <a:fillRect/>
                    </a:stretch>
                  </pic:blipFill>
                  <pic:spPr>
                    <a:xfrm>
                      <a:off x="0" y="0"/>
                      <a:ext cx="1555333" cy="1283709"/>
                    </a:xfrm>
                    <a:prstGeom prst="rect">
                      <a:avLst/>
                    </a:prstGeom>
                  </pic:spPr>
                </pic:pic>
              </a:graphicData>
            </a:graphic>
            <wp14:sizeRelH relativeFrom="margin">
              <wp14:pctWidth>0</wp14:pctWidth>
            </wp14:sizeRelH>
            <wp14:sizeRelV relativeFrom="margin">
              <wp14:pctHeight>0</wp14:pctHeight>
            </wp14:sizeRelV>
          </wp:anchor>
        </w:drawing>
      </w:r>
      <w:r w:rsidR="0024738F" w:rsidRPr="00A723AF">
        <w:rPr>
          <w:noProof/>
        </w:rPr>
        <w:drawing>
          <wp:inline distT="0" distB="0" distL="0" distR="0" wp14:anchorId="076D59CD" wp14:editId="24943253">
            <wp:extent cx="5521622" cy="1940859"/>
            <wp:effectExtent l="0" t="0" r="3175" b="2540"/>
            <wp:docPr id="15081816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81645" name=""/>
                    <pic:cNvPicPr/>
                  </pic:nvPicPr>
                  <pic:blipFill>
                    <a:blip r:embed="rId23"/>
                    <a:stretch>
                      <a:fillRect/>
                    </a:stretch>
                  </pic:blipFill>
                  <pic:spPr>
                    <a:xfrm>
                      <a:off x="0" y="0"/>
                      <a:ext cx="5536333" cy="1946030"/>
                    </a:xfrm>
                    <a:prstGeom prst="rect">
                      <a:avLst/>
                    </a:prstGeom>
                  </pic:spPr>
                </pic:pic>
              </a:graphicData>
            </a:graphic>
          </wp:inline>
        </w:drawing>
      </w:r>
    </w:p>
    <w:p w14:paraId="504EBBA2" w14:textId="12795375" w:rsidR="00A17FC9" w:rsidRPr="00A723AF" w:rsidRDefault="00A17FC9" w:rsidP="00A17FC9">
      <w:pPr>
        <w:pStyle w:val="CETCaption"/>
      </w:pPr>
      <w:r w:rsidRPr="00A723AF">
        <w:rPr>
          <w:rStyle w:val="CETCaptionCarattere"/>
          <w:i/>
        </w:rPr>
        <w:t>Figure 5: SEM-EDS analysis of the P-based fertilizer.</w:t>
      </w:r>
    </w:p>
    <w:p w14:paraId="06A17551" w14:textId="0627541E" w:rsidR="0024738F" w:rsidRPr="00A723AF" w:rsidRDefault="0024738F" w:rsidP="0024738F">
      <w:pPr>
        <w:pStyle w:val="CETBodytext"/>
      </w:pPr>
      <w:r w:rsidRPr="00A723AF">
        <w:lastRenderedPageBreak/>
        <w:t xml:space="preserve">The precipitate was rich in Ca </w:t>
      </w:r>
      <w:r w:rsidR="00A17FC9" w:rsidRPr="00A723AF">
        <w:t xml:space="preserve">(36.5%) </w:t>
      </w:r>
      <w:r w:rsidRPr="00A723AF">
        <w:t>and P</w:t>
      </w:r>
      <w:r w:rsidR="00A17FC9" w:rsidRPr="00A723AF">
        <w:t xml:space="preserve"> (12.7%)</w:t>
      </w:r>
      <w:r w:rsidRPr="00A723AF">
        <w:t xml:space="preserve">, in agreement with </w:t>
      </w:r>
      <w:r w:rsidR="00A17FC9" w:rsidRPr="00A723AF">
        <w:t>Ca</w:t>
      </w:r>
      <w:r w:rsidR="00A17FC9" w:rsidRPr="00A723AF">
        <w:rPr>
          <w:vertAlign w:val="subscript"/>
        </w:rPr>
        <w:t>3</w:t>
      </w:r>
      <w:r w:rsidR="00A17FC9" w:rsidRPr="00A723AF">
        <w:t>(PO</w:t>
      </w:r>
      <w:r w:rsidR="00A17FC9" w:rsidRPr="00A723AF">
        <w:rPr>
          <w:vertAlign w:val="subscript"/>
        </w:rPr>
        <w:t>4</w:t>
      </w:r>
      <w:r w:rsidR="00A17FC9" w:rsidRPr="00A723AF">
        <w:t>)</w:t>
      </w:r>
      <w:r w:rsidR="00A17FC9" w:rsidRPr="00A723AF">
        <w:rPr>
          <w:vertAlign w:val="subscript"/>
        </w:rPr>
        <w:t>2</w:t>
      </w:r>
      <w:r w:rsidRPr="00A723AF">
        <w:t xml:space="preserve"> compounds. Furthermore, EDS detected a P content of 12.</w:t>
      </w:r>
      <w:r w:rsidR="00A17FC9" w:rsidRPr="00A723AF">
        <w:t>7</w:t>
      </w:r>
      <w:r w:rsidRPr="00A723AF">
        <w:t xml:space="preserve">%, which corresponds to a </w:t>
      </w:r>
      <w:r w:rsidR="00A17FC9" w:rsidRPr="00A723AF">
        <w:t>P</w:t>
      </w:r>
      <w:r w:rsidR="00A17FC9" w:rsidRPr="00A723AF">
        <w:rPr>
          <w:vertAlign w:val="subscript"/>
        </w:rPr>
        <w:t>2</w:t>
      </w:r>
      <w:r w:rsidR="00A17FC9" w:rsidRPr="00A723AF">
        <w:t>O</w:t>
      </w:r>
      <w:r w:rsidR="00A17FC9" w:rsidRPr="00A723AF">
        <w:rPr>
          <w:vertAlign w:val="subscript"/>
        </w:rPr>
        <w:t>5</w:t>
      </w:r>
      <w:r w:rsidRPr="00A723AF">
        <w:t xml:space="preserve"> content of 29%, in agreement with the mineralization results.</w:t>
      </w:r>
      <w:r w:rsidR="00A17FC9" w:rsidRPr="00A723AF">
        <w:t xml:space="preserve"> A significant amount of Mg was also detected (5.7%), indicating that the proposed process is also able to recover Mg, which is important for agricultural use and for the EU (as it is considered a critical raw material).</w:t>
      </w:r>
    </w:p>
    <w:p w14:paraId="6B736956" w14:textId="065D2DA2" w:rsidR="0024738F" w:rsidRPr="00A723AF" w:rsidRDefault="00600535" w:rsidP="0024738F">
      <w:pPr>
        <w:pStyle w:val="CETHeading1"/>
        <w:rPr>
          <w:lang w:val="en-GB"/>
        </w:rPr>
      </w:pPr>
      <w:r w:rsidRPr="00A723AF">
        <w:rPr>
          <w:lang w:val="en-GB"/>
        </w:rPr>
        <w:t>Conclusions</w:t>
      </w:r>
    </w:p>
    <w:p w14:paraId="1D1885C7" w14:textId="35D97098" w:rsidR="00F02099" w:rsidRPr="00A723AF" w:rsidRDefault="00F02099" w:rsidP="00F02099">
      <w:pPr>
        <w:pStyle w:val="CETBodytext"/>
        <w:rPr>
          <w:lang w:val="en-GB"/>
        </w:rPr>
      </w:pPr>
      <w:r w:rsidRPr="00A723AF">
        <w:rPr>
          <w:lang w:val="en-GB"/>
        </w:rPr>
        <w:t>This study developed a process able to recover several nutrients from waste biomass such as digested sludge. Co-combustion of sludge with NaCl demonstrated a significant reduction in the HMs content (Ni, Pb, Zn, Cu, Cd, and Cr) while maintaining constant P and K amounts.</w:t>
      </w:r>
    </w:p>
    <w:p w14:paraId="76507ACC" w14:textId="3F8C443A" w:rsidR="00F02099" w:rsidRPr="00A723AF" w:rsidRDefault="00F02099" w:rsidP="00F02099">
      <w:pPr>
        <w:pStyle w:val="CETBodytext"/>
        <w:rPr>
          <w:lang w:val="en-GB"/>
        </w:rPr>
      </w:pPr>
      <w:r w:rsidRPr="00A723AF">
        <w:rPr>
          <w:lang w:val="en-GB"/>
        </w:rPr>
        <w:t>A multi-step leaching approach demonstrated the selective extraction of target species: H</w:t>
      </w:r>
      <w:r w:rsidRPr="00A723AF">
        <w:rPr>
          <w:vertAlign w:val="subscript"/>
          <w:lang w:val="en-GB"/>
        </w:rPr>
        <w:t>2</w:t>
      </w:r>
      <w:r w:rsidRPr="00A723AF">
        <w:rPr>
          <w:lang w:val="en-GB"/>
        </w:rPr>
        <w:t xml:space="preserve">O-based leaching selectively and successfully extracted </w:t>
      </w:r>
      <w:r w:rsidR="00671823" w:rsidRPr="00A723AF">
        <w:rPr>
          <w:lang w:val="en-GB"/>
        </w:rPr>
        <w:t xml:space="preserve">100 g </w:t>
      </w:r>
      <w:r w:rsidRPr="00A723AF">
        <w:rPr>
          <w:lang w:val="en-GB"/>
        </w:rPr>
        <w:t>of K</w:t>
      </w:r>
      <w:r w:rsidR="00671823" w:rsidRPr="00A723AF">
        <w:rPr>
          <w:lang w:val="en-GB"/>
        </w:rPr>
        <w:t xml:space="preserve"> per kg of ash</w:t>
      </w:r>
      <w:r w:rsidRPr="00A723AF">
        <w:rPr>
          <w:lang w:val="en-GB"/>
        </w:rPr>
        <w:t>, due to the high solubility of K compounds.</w:t>
      </w:r>
    </w:p>
    <w:p w14:paraId="4498DCE1" w14:textId="40E8A417" w:rsidR="00F02099" w:rsidRPr="00A723AF" w:rsidRDefault="007C34CC" w:rsidP="00F02099">
      <w:pPr>
        <w:pStyle w:val="CETBodytext"/>
        <w:rPr>
          <w:lang w:val="en-GB"/>
        </w:rPr>
      </w:pPr>
      <w:r>
        <w:rPr>
          <w:lang w:val="en-GB"/>
        </w:rPr>
        <w:t>H</w:t>
      </w:r>
      <w:r w:rsidRPr="007C34CC">
        <w:rPr>
          <w:vertAlign w:val="subscript"/>
          <w:lang w:val="en-GB"/>
        </w:rPr>
        <w:t>2</w:t>
      </w:r>
      <w:r>
        <w:rPr>
          <w:lang w:val="en-GB"/>
        </w:rPr>
        <w:t>SO</w:t>
      </w:r>
      <w:r w:rsidRPr="007C34CC">
        <w:rPr>
          <w:vertAlign w:val="subscript"/>
          <w:lang w:val="en-GB"/>
        </w:rPr>
        <w:t>4</w:t>
      </w:r>
      <w:r w:rsidR="00F02099" w:rsidRPr="00A723AF">
        <w:rPr>
          <w:lang w:val="en-GB"/>
        </w:rPr>
        <w:t>-based acid leaching demonstrated a P extraction of 76%, and NaCl addition enhanced extraction up to 91%, converting the main AlP phases into more soluble species such as NaCaPO</w:t>
      </w:r>
      <w:r w:rsidR="00F02099" w:rsidRPr="00A723AF">
        <w:rPr>
          <w:vertAlign w:val="subscript"/>
          <w:lang w:val="en-GB"/>
        </w:rPr>
        <w:t>4</w:t>
      </w:r>
      <w:r w:rsidR="00F02099" w:rsidRPr="00A723AF">
        <w:rPr>
          <w:lang w:val="en-GB"/>
        </w:rPr>
        <w:t xml:space="preserve">. The effectiveness of the acid extraction was mainly due to the low </w:t>
      </w:r>
      <w:r w:rsidR="00A955D5" w:rsidRPr="00A723AF">
        <w:rPr>
          <w:lang w:val="en-GB"/>
        </w:rPr>
        <w:t>concentrations of Fe and Al in the sludge and the high concentration of Ca, which made</w:t>
      </w:r>
      <w:r w:rsidR="00F02099" w:rsidRPr="00A723AF">
        <w:rPr>
          <w:lang w:val="en-GB"/>
        </w:rPr>
        <w:t xml:space="preserve"> acid extraction suitable.</w:t>
      </w:r>
    </w:p>
    <w:p w14:paraId="3EB10C30" w14:textId="0391507D" w:rsidR="00F02099" w:rsidRPr="00A723AF" w:rsidRDefault="00F02099" w:rsidP="00F02099">
      <w:pPr>
        <w:pStyle w:val="CETBodytext"/>
        <w:rPr>
          <w:lang w:val="en-GB"/>
        </w:rPr>
      </w:pPr>
      <w:r w:rsidRPr="00A723AF">
        <w:rPr>
          <w:lang w:val="en-GB"/>
        </w:rPr>
        <w:t>Furthermore, 1 M H</w:t>
      </w:r>
      <w:r w:rsidRPr="00A723AF">
        <w:rPr>
          <w:vertAlign w:val="subscript"/>
          <w:lang w:val="en-GB"/>
        </w:rPr>
        <w:t>2</w:t>
      </w:r>
      <w:r w:rsidRPr="00A723AF">
        <w:rPr>
          <w:lang w:val="en-GB"/>
        </w:rPr>
        <w:t>SO</w:t>
      </w:r>
      <w:r w:rsidRPr="00A723AF">
        <w:rPr>
          <w:vertAlign w:val="subscript"/>
          <w:lang w:val="en-GB"/>
        </w:rPr>
        <w:t>4</w:t>
      </w:r>
      <w:r w:rsidRPr="00A723AF">
        <w:rPr>
          <w:lang w:val="en-GB"/>
        </w:rPr>
        <w:t xml:space="preserve"> at L/S = 10 </w:t>
      </w:r>
      <w:r w:rsidR="00A955D5" w:rsidRPr="00A723AF">
        <w:rPr>
          <w:lang w:val="en-GB"/>
        </w:rPr>
        <w:t>yielded poor extraction of HMs, indicating</w:t>
      </w:r>
      <w:r w:rsidRPr="00A723AF">
        <w:rPr>
          <w:lang w:val="en-GB"/>
        </w:rPr>
        <w:t xml:space="preserve"> a significant advantage for HMs/P separation. Citric acid addition was detrimental for the leaching process because, although it increased P extraction, it also increased HMs extraction due to its stronger leaching capacity.</w:t>
      </w:r>
    </w:p>
    <w:p w14:paraId="4E78399C" w14:textId="337F23FE" w:rsidR="00F02099" w:rsidRPr="00A723AF" w:rsidRDefault="00F02099" w:rsidP="00F02099">
      <w:pPr>
        <w:pStyle w:val="CETBodytext"/>
        <w:rPr>
          <w:lang w:val="en-GB"/>
        </w:rPr>
      </w:pPr>
      <w:r w:rsidRPr="00A723AF">
        <w:rPr>
          <w:lang w:val="en-GB"/>
        </w:rPr>
        <w:t xml:space="preserve">A precipitation step performed at Ca/P = 2 by adding </w:t>
      </w:r>
      <w:proofErr w:type="gramStart"/>
      <w:r w:rsidRPr="00A723AF">
        <w:rPr>
          <w:lang w:val="en-GB"/>
        </w:rPr>
        <w:t>Ca(</w:t>
      </w:r>
      <w:proofErr w:type="gramEnd"/>
      <w:r w:rsidRPr="00A723AF">
        <w:rPr>
          <w:lang w:val="en-GB"/>
        </w:rPr>
        <w:t>OH)</w:t>
      </w:r>
      <w:r w:rsidRPr="00A723AF">
        <w:rPr>
          <w:vertAlign w:val="subscript"/>
          <w:lang w:val="en-GB"/>
        </w:rPr>
        <w:t>2</w:t>
      </w:r>
      <w:r w:rsidRPr="00A723AF">
        <w:rPr>
          <w:lang w:val="en-GB"/>
        </w:rPr>
        <w:t xml:space="preserve"> at pH 10, assisted by EDTA (0.8 g/L), proved suitable to precipitate 97% of P while limiting the co-precipitation of HMs, which was partially hindered by the chelating effect of EDTA.</w:t>
      </w:r>
    </w:p>
    <w:p w14:paraId="4F24CBFE" w14:textId="2CEE3A81" w:rsidR="00742D87" w:rsidRPr="00A723AF" w:rsidRDefault="00F02099" w:rsidP="00F02099">
      <w:pPr>
        <w:pStyle w:val="CETBodytext"/>
        <w:rPr>
          <w:lang w:val="en-GB"/>
        </w:rPr>
      </w:pPr>
      <w:r w:rsidRPr="00A723AF">
        <w:rPr>
          <w:lang w:val="en-GB"/>
        </w:rPr>
        <w:t>Overall, P recovery reached 89%, obtaining a P-based fertilizer containing 29.8% of P</w:t>
      </w:r>
      <w:r w:rsidRPr="00A723AF">
        <w:rPr>
          <w:vertAlign w:val="subscript"/>
          <w:lang w:val="en-GB"/>
        </w:rPr>
        <w:t>2</w:t>
      </w:r>
      <w:r w:rsidRPr="00A723AF">
        <w:rPr>
          <w:lang w:val="en-GB"/>
        </w:rPr>
        <w:t>O</w:t>
      </w:r>
      <w:r w:rsidRPr="00A723AF">
        <w:rPr>
          <w:vertAlign w:val="subscript"/>
          <w:lang w:val="en-GB"/>
        </w:rPr>
        <w:t>5</w:t>
      </w:r>
      <w:r w:rsidR="00D35267" w:rsidRPr="00A723AF">
        <w:rPr>
          <w:vertAlign w:val="subscript"/>
          <w:lang w:val="en-GB"/>
        </w:rPr>
        <w:t xml:space="preserve"> </w:t>
      </w:r>
      <w:r w:rsidR="00D35267" w:rsidRPr="00A723AF">
        <w:rPr>
          <w:lang w:val="en-GB"/>
        </w:rPr>
        <w:t xml:space="preserve">and 5.7% of Mg. </w:t>
      </w:r>
      <w:r w:rsidRPr="00A723AF">
        <w:rPr>
          <w:lang w:val="en-GB"/>
        </w:rPr>
        <w:t xml:space="preserve">From 1 kg of dry sludge, 0.250 </w:t>
      </w:r>
      <w:r w:rsidR="001E06E0" w:rsidRPr="00A723AF">
        <w:rPr>
          <w:lang w:val="en-GB"/>
        </w:rPr>
        <w:t>kg</w:t>
      </w:r>
      <w:r w:rsidRPr="00A723AF">
        <w:rPr>
          <w:lang w:val="en-GB"/>
        </w:rPr>
        <w:t xml:space="preserve"> of P-based fertilizer compliant with EU Regulation 1009/2019 for inorganic solid P-based fertilizers was produced.</w:t>
      </w:r>
    </w:p>
    <w:p w14:paraId="1CAC63C8" w14:textId="77777777" w:rsidR="00742D87" w:rsidRPr="00A723AF" w:rsidRDefault="00742D87" w:rsidP="00600535">
      <w:pPr>
        <w:pStyle w:val="CETBodytext"/>
        <w:rPr>
          <w:lang w:val="en-GB"/>
        </w:rPr>
      </w:pPr>
    </w:p>
    <w:p w14:paraId="459D05E6" w14:textId="77777777" w:rsidR="00600535" w:rsidRPr="00A723AF" w:rsidRDefault="00600535" w:rsidP="00600535">
      <w:pPr>
        <w:pStyle w:val="CETAcknowledgementstitle"/>
      </w:pPr>
      <w:r w:rsidRPr="00A723AF">
        <w:t>Acknowledgments</w:t>
      </w:r>
    </w:p>
    <w:p w14:paraId="33F8138F" w14:textId="5B758950" w:rsidR="00600535" w:rsidRPr="00A723AF" w:rsidRDefault="000F2BBB" w:rsidP="00600535">
      <w:pPr>
        <w:pStyle w:val="CETBodytext"/>
        <w:rPr>
          <w:lang w:val="en-GB"/>
        </w:rPr>
      </w:pPr>
      <w:r w:rsidRPr="00A723AF">
        <w:rPr>
          <w:lang w:val="en-GB"/>
        </w:rPr>
        <w:t>This work was supported by the “Avvio alla Ricerca” program (Sapienza University of Rome, CALL-0672 - Bando per la Ricerca Scientifica 2025, CUP: B83C25004300005).</w:t>
      </w:r>
    </w:p>
    <w:p w14:paraId="71A142E4" w14:textId="62F5B87E" w:rsidR="00D35267" w:rsidRPr="00A723AF" w:rsidRDefault="00600535" w:rsidP="000A3D8C">
      <w:pPr>
        <w:pStyle w:val="CETReference"/>
      </w:pPr>
      <w:r w:rsidRPr="00A723AF">
        <w:t>References</w:t>
      </w:r>
    </w:p>
    <w:p w14:paraId="0CF1FCCF" w14:textId="647B9BD7" w:rsidR="0058368E" w:rsidRPr="00A723AF" w:rsidRDefault="0058368E" w:rsidP="0058368E">
      <w:pPr>
        <w:pStyle w:val="CETReferencetext"/>
      </w:pPr>
      <w:r w:rsidRPr="00A723AF">
        <w:t>Bier</w:t>
      </w:r>
      <w:r w:rsidRPr="00A723AF">
        <w:rPr>
          <w:rFonts w:ascii="Cambria Math" w:hAnsi="Cambria Math" w:cs="Cambria Math"/>
        </w:rPr>
        <w:t>‐</w:t>
      </w:r>
      <w:r w:rsidRPr="00A723AF">
        <w:t>Schorr L., Gräser V., Scherer</w:t>
      </w:r>
      <w:r w:rsidRPr="00A723AF">
        <w:rPr>
          <w:rFonts w:ascii="Cambria Math" w:hAnsi="Cambria Math" w:cs="Cambria Math"/>
        </w:rPr>
        <w:t>‐</w:t>
      </w:r>
      <w:r w:rsidRPr="00A723AF">
        <w:t>Lorenzen M., Hajek P., Kurz P., 2025, Enhancement of the Plant</w:t>
      </w:r>
      <w:r w:rsidRPr="00A723AF">
        <w:rPr>
          <w:rFonts w:ascii="Cambria Math" w:hAnsi="Cambria Math" w:cs="Cambria Math"/>
        </w:rPr>
        <w:t>‐</w:t>
      </w:r>
      <w:r w:rsidRPr="00A723AF">
        <w:t>Accessible Phosphate Fraction in Sewage Sludge Ashes by Na + or K + Addition Prior to Combustion, ChemSusChem 18.</w:t>
      </w:r>
    </w:p>
    <w:p w14:paraId="3A7C511D" w14:textId="3B5DF504" w:rsidR="0058368E" w:rsidRPr="00A723AF" w:rsidRDefault="0058368E" w:rsidP="0058368E">
      <w:pPr>
        <w:pStyle w:val="CETReferencetext"/>
      </w:pPr>
      <w:r w:rsidRPr="00A723AF">
        <w:rPr>
          <w:lang w:val="en-US"/>
        </w:rPr>
        <w:t xml:space="preserve">Boniardi G., Close K., Turolla A., Canziani R., Oehmen A., 2024, </w:t>
      </w:r>
      <w:r w:rsidRPr="00A723AF">
        <w:t xml:space="preserve">Assessment of three different approaches for integrating phosphorus recovery from sewage sludge and derived products in existing wastewater treatment plants, Bioresource Technology, 402. </w:t>
      </w:r>
    </w:p>
    <w:p w14:paraId="4E409D0D" w14:textId="21708FFE" w:rsidR="0058368E" w:rsidRPr="00A723AF" w:rsidRDefault="0058368E" w:rsidP="0058368E">
      <w:pPr>
        <w:pStyle w:val="CETReferencetext"/>
      </w:pPr>
      <w:r w:rsidRPr="00A723AF">
        <w:rPr>
          <w:lang w:val="en-US"/>
        </w:rPr>
        <w:t xml:space="preserve">Boniardi G., Turolla A., Fiameni L., Gelmi E., Malpei F., Bontempi E., Canziani R., 2021, </w:t>
      </w:r>
      <w:r w:rsidRPr="00A723AF">
        <w:t xml:space="preserve">Assessment of a simple and replicable procedure for selective phosphorus recovery from sewage sludge ashes by wet chemical extraction and precipitation, Chemosphere, 285. </w:t>
      </w:r>
    </w:p>
    <w:p w14:paraId="1FD5DB8F" w14:textId="10099A3E" w:rsidR="0058368E" w:rsidRPr="00A723AF" w:rsidRDefault="0058368E" w:rsidP="0058368E">
      <w:pPr>
        <w:pStyle w:val="CETReferencetext"/>
      </w:pPr>
      <w:r w:rsidRPr="00A723AF">
        <w:rPr>
          <w:lang w:val="en-US"/>
        </w:rPr>
        <w:t xml:space="preserve">Luyckx L., Van Caneghem J., 2021, </w:t>
      </w:r>
      <w:r w:rsidRPr="00A723AF">
        <w:t xml:space="preserve">Recovery of phosphorus from sewage sludge ash: Influence of incineration temperature on ash mineralogy and related phosphorus and heavy metal extraction, Journal of Environmental Chemical Engineering, 9. </w:t>
      </w:r>
    </w:p>
    <w:p w14:paraId="6A54BCA3" w14:textId="5868AE45" w:rsidR="0058368E" w:rsidRPr="00A723AF" w:rsidRDefault="0058368E" w:rsidP="0058368E">
      <w:pPr>
        <w:pStyle w:val="CETReferencetext"/>
      </w:pPr>
      <w:r w:rsidRPr="00A723AF">
        <w:t xml:space="preserve">Murphy J., Riley J.P., 1958, A Single-Solution Method for the Determination of Soluble Phosphate in Sea Water, Journal of the Marine Biological Association of the United Kingdom, 37, 9–14. </w:t>
      </w:r>
    </w:p>
    <w:p w14:paraId="4FD5A230" w14:textId="242CEB62" w:rsidR="0058368E" w:rsidRDefault="0058368E" w:rsidP="0058368E">
      <w:pPr>
        <w:pStyle w:val="CETReferencetext"/>
      </w:pPr>
      <w:r w:rsidRPr="00A723AF">
        <w:rPr>
          <w:lang w:val="en-US"/>
        </w:rPr>
        <w:t xml:space="preserve">Rosa D., Rizzo F., Di Palma L., 2025, </w:t>
      </w:r>
      <w:r w:rsidRPr="00A723AF">
        <w:t xml:space="preserve">Lime and pozzolan-based matrices for an efficient immobilization of hazardous waste, Chemical Engineering Science, 313. </w:t>
      </w:r>
    </w:p>
    <w:p w14:paraId="105B7EC6" w14:textId="19D1017D" w:rsidR="007A2EFD" w:rsidRPr="007A2EFD" w:rsidRDefault="007A2EFD" w:rsidP="007A2EFD">
      <w:pPr>
        <w:pStyle w:val="CETReferencetext"/>
        <w:rPr>
          <w:lang w:val="en-US"/>
        </w:rPr>
      </w:pPr>
      <w:r w:rsidRPr="007A2EFD">
        <w:rPr>
          <w:lang w:val="en-US"/>
        </w:rPr>
        <w:t>Saleh Bairq</w:t>
      </w:r>
      <w:r>
        <w:rPr>
          <w:lang w:val="en-US"/>
        </w:rPr>
        <w:t xml:space="preserve"> </w:t>
      </w:r>
      <w:r w:rsidRPr="007A2EFD">
        <w:rPr>
          <w:lang w:val="en-US"/>
        </w:rPr>
        <w:t>Z.A., Li</w:t>
      </w:r>
      <w:r>
        <w:rPr>
          <w:lang w:val="en-US"/>
        </w:rPr>
        <w:t xml:space="preserve"> R.</w:t>
      </w:r>
      <w:r w:rsidRPr="007A2EFD">
        <w:rPr>
          <w:lang w:val="en-US"/>
        </w:rPr>
        <w:t>, Li</w:t>
      </w:r>
      <w:r>
        <w:rPr>
          <w:lang w:val="en-US"/>
        </w:rPr>
        <w:t xml:space="preserve"> Y.,</w:t>
      </w:r>
      <w:r w:rsidRPr="007A2EFD">
        <w:rPr>
          <w:lang w:val="en-US"/>
        </w:rPr>
        <w:t xml:space="preserve"> Gao</w:t>
      </w:r>
      <w:r>
        <w:rPr>
          <w:lang w:val="en-US"/>
        </w:rPr>
        <w:t xml:space="preserve"> H.</w:t>
      </w:r>
      <w:r w:rsidRPr="007A2EFD">
        <w:rPr>
          <w:lang w:val="en-US"/>
        </w:rPr>
        <w:t>, Sema</w:t>
      </w:r>
      <w:r>
        <w:rPr>
          <w:lang w:val="en-US"/>
        </w:rPr>
        <w:t xml:space="preserve"> T.</w:t>
      </w:r>
      <w:r w:rsidRPr="007A2EFD">
        <w:rPr>
          <w:lang w:val="en-US"/>
        </w:rPr>
        <w:t>, Teng</w:t>
      </w:r>
      <w:r>
        <w:rPr>
          <w:lang w:val="en-US"/>
        </w:rPr>
        <w:t xml:space="preserve"> W.</w:t>
      </w:r>
      <w:r w:rsidRPr="007A2EFD">
        <w:rPr>
          <w:lang w:val="en-US"/>
        </w:rPr>
        <w:t>, Kumar</w:t>
      </w:r>
      <w:r>
        <w:rPr>
          <w:lang w:val="en-US"/>
        </w:rPr>
        <w:t xml:space="preserve"> S.</w:t>
      </w:r>
      <w:r w:rsidRPr="007A2EFD">
        <w:rPr>
          <w:lang w:val="en-US"/>
        </w:rPr>
        <w:t>, Liang</w:t>
      </w:r>
      <w:r>
        <w:rPr>
          <w:lang w:val="en-US"/>
        </w:rPr>
        <w:t xml:space="preserve"> Z.</w:t>
      </w:r>
      <w:r w:rsidRPr="007A2EFD">
        <w:rPr>
          <w:lang w:val="en-US"/>
        </w:rPr>
        <w:t xml:space="preserve">, </w:t>
      </w:r>
      <w:r>
        <w:rPr>
          <w:lang w:val="en-US"/>
        </w:rPr>
        <w:t xml:space="preserve">2018, </w:t>
      </w:r>
      <w:r w:rsidRPr="007A2EFD">
        <w:rPr>
          <w:lang w:val="en-US"/>
        </w:rPr>
        <w:t>New advancement perspectives</w:t>
      </w:r>
      <w:r>
        <w:rPr>
          <w:lang w:val="en-US"/>
        </w:rPr>
        <w:t xml:space="preserve"> </w:t>
      </w:r>
      <w:r w:rsidRPr="007A2EFD">
        <w:rPr>
          <w:lang w:val="en-US"/>
        </w:rPr>
        <w:t>of chloride additives on enhanced heavy metals removal and</w:t>
      </w:r>
      <w:r>
        <w:rPr>
          <w:lang w:val="en-US"/>
        </w:rPr>
        <w:t xml:space="preserve"> </w:t>
      </w:r>
      <w:r w:rsidRPr="007A2EFD">
        <w:rPr>
          <w:lang w:val="en-US"/>
        </w:rPr>
        <w:t>phosphorus fixation during thermal processing of sewage sludge, J</w:t>
      </w:r>
      <w:r>
        <w:rPr>
          <w:lang w:val="en-US"/>
        </w:rPr>
        <w:t>ournal of</w:t>
      </w:r>
      <w:r w:rsidRPr="007A2EFD">
        <w:rPr>
          <w:lang w:val="en-US"/>
        </w:rPr>
        <w:t xml:space="preserve"> Clean</w:t>
      </w:r>
      <w:r>
        <w:rPr>
          <w:lang w:val="en-US"/>
        </w:rPr>
        <w:t>er</w:t>
      </w:r>
      <w:r w:rsidRPr="007A2EFD">
        <w:rPr>
          <w:lang w:val="en-US"/>
        </w:rPr>
        <w:t xml:space="preserve"> Prod</w:t>
      </w:r>
      <w:r>
        <w:rPr>
          <w:lang w:val="en-US"/>
        </w:rPr>
        <w:t>uction,</w:t>
      </w:r>
      <w:r w:rsidRPr="007A2EFD">
        <w:rPr>
          <w:lang w:val="en-US"/>
        </w:rPr>
        <w:t xml:space="preserve"> 188</w:t>
      </w:r>
      <w:r>
        <w:rPr>
          <w:lang w:val="en-US"/>
        </w:rPr>
        <w:t xml:space="preserve">, </w:t>
      </w:r>
      <w:r w:rsidRPr="007A2EFD">
        <w:rPr>
          <w:lang w:val="en-US"/>
        </w:rPr>
        <w:t>185–194.</w:t>
      </w:r>
    </w:p>
    <w:p w14:paraId="51BBF7A2" w14:textId="4A472700" w:rsidR="0058368E" w:rsidRPr="00A723AF" w:rsidRDefault="0058368E" w:rsidP="0058368E">
      <w:pPr>
        <w:pStyle w:val="CETReferencetext"/>
      </w:pPr>
      <w:r w:rsidRPr="00A723AF">
        <w:rPr>
          <w:lang w:val="en-US"/>
        </w:rPr>
        <w:t xml:space="preserve">Volpe M., Fiori L., Merzari F., Messineo A., Andreottola G., 2020, </w:t>
      </w:r>
      <w:r w:rsidRPr="00A723AF">
        <w:t>Hydrothermal Carbonization as an Efficient Tool for Sewage Sludge Valorization and Phosphorous Recovery, Chemical Engineering Transaction</w:t>
      </w:r>
      <w:r w:rsidR="001E06E0" w:rsidRPr="00A723AF">
        <w:t>,</w:t>
      </w:r>
      <w:r w:rsidRPr="00A723AF">
        <w:t xml:space="preserve"> 80, 199–204.</w:t>
      </w:r>
    </w:p>
    <w:p w14:paraId="19C4FC68" w14:textId="7705AFCA" w:rsidR="004628D2" w:rsidRPr="00742D87" w:rsidRDefault="0058368E" w:rsidP="007A2EFD">
      <w:pPr>
        <w:pStyle w:val="CETReferencetext"/>
      </w:pPr>
      <w:r w:rsidRPr="00A723AF">
        <w:rPr>
          <w:lang w:val="en-US"/>
        </w:rPr>
        <w:t xml:space="preserve">Yang H., Kang J.-K., Park S.-J., Lee C.-G., 2022, </w:t>
      </w:r>
      <w:r w:rsidRPr="00A723AF">
        <w:t>Phosphorus recovery from cattle manure bottom ash by extraction and precipitation methods, Environmental Science and Pollution Research</w:t>
      </w:r>
      <w:r w:rsidR="00F27422" w:rsidRPr="00A723AF">
        <w:t>,</w:t>
      </w:r>
      <w:r w:rsidRPr="00A723AF">
        <w:t xml:space="preserve"> 29, 39567–39577.</w:t>
      </w:r>
    </w:p>
    <w:sectPr w:rsidR="004628D2" w:rsidRPr="00742D87" w:rsidSect="00513288">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50D78" w14:textId="77777777" w:rsidR="00B87A92" w:rsidRDefault="00B87A92" w:rsidP="004F5E36">
      <w:r>
        <w:separator/>
      </w:r>
    </w:p>
  </w:endnote>
  <w:endnote w:type="continuationSeparator" w:id="0">
    <w:p w14:paraId="702ECDEE" w14:textId="77777777" w:rsidR="00B87A92" w:rsidRDefault="00B87A9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D5293" w14:textId="77777777" w:rsidR="00B87A92" w:rsidRDefault="00B87A92" w:rsidP="004F5E36">
      <w:r>
        <w:separator/>
      </w:r>
    </w:p>
  </w:footnote>
  <w:footnote w:type="continuationSeparator" w:id="0">
    <w:p w14:paraId="7BA886B8" w14:textId="77777777" w:rsidR="00B87A92" w:rsidRDefault="00B87A9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3148D"/>
    <w:rsid w:val="00031EEC"/>
    <w:rsid w:val="00051566"/>
    <w:rsid w:val="000562A9"/>
    <w:rsid w:val="00062A9A"/>
    <w:rsid w:val="00065058"/>
    <w:rsid w:val="00071CF5"/>
    <w:rsid w:val="00086C39"/>
    <w:rsid w:val="00087BEB"/>
    <w:rsid w:val="00097262"/>
    <w:rsid w:val="000A03B2"/>
    <w:rsid w:val="000A3D8C"/>
    <w:rsid w:val="000C5EAD"/>
    <w:rsid w:val="000D0268"/>
    <w:rsid w:val="000D34BE"/>
    <w:rsid w:val="000E102F"/>
    <w:rsid w:val="000E36F1"/>
    <w:rsid w:val="000E3A73"/>
    <w:rsid w:val="000E414A"/>
    <w:rsid w:val="000E75FD"/>
    <w:rsid w:val="000F093C"/>
    <w:rsid w:val="000F2BBB"/>
    <w:rsid w:val="000F787B"/>
    <w:rsid w:val="00101F02"/>
    <w:rsid w:val="00113640"/>
    <w:rsid w:val="00114425"/>
    <w:rsid w:val="001163B5"/>
    <w:rsid w:val="0011761A"/>
    <w:rsid w:val="0012091F"/>
    <w:rsid w:val="00124AAD"/>
    <w:rsid w:val="00126BC2"/>
    <w:rsid w:val="001308B6"/>
    <w:rsid w:val="0013121F"/>
    <w:rsid w:val="00131FE6"/>
    <w:rsid w:val="0013263F"/>
    <w:rsid w:val="001331DF"/>
    <w:rsid w:val="00134DE4"/>
    <w:rsid w:val="0014034D"/>
    <w:rsid w:val="00140F67"/>
    <w:rsid w:val="00140FE3"/>
    <w:rsid w:val="00144D16"/>
    <w:rsid w:val="00150E59"/>
    <w:rsid w:val="00152DE3"/>
    <w:rsid w:val="00164CF9"/>
    <w:rsid w:val="001667A6"/>
    <w:rsid w:val="00184AD6"/>
    <w:rsid w:val="001A4AF7"/>
    <w:rsid w:val="001B0349"/>
    <w:rsid w:val="001B1E93"/>
    <w:rsid w:val="001B289A"/>
    <w:rsid w:val="001B65C1"/>
    <w:rsid w:val="001C260F"/>
    <w:rsid w:val="001C33F1"/>
    <w:rsid w:val="001C684B"/>
    <w:rsid w:val="001D0CFB"/>
    <w:rsid w:val="001D21AF"/>
    <w:rsid w:val="001D53FC"/>
    <w:rsid w:val="001E06E0"/>
    <w:rsid w:val="001F42A5"/>
    <w:rsid w:val="001F7B9D"/>
    <w:rsid w:val="00201C93"/>
    <w:rsid w:val="00205A1D"/>
    <w:rsid w:val="00206E71"/>
    <w:rsid w:val="002224B4"/>
    <w:rsid w:val="00232DE5"/>
    <w:rsid w:val="00240B19"/>
    <w:rsid w:val="002447EF"/>
    <w:rsid w:val="0024738F"/>
    <w:rsid w:val="00250578"/>
    <w:rsid w:val="00251550"/>
    <w:rsid w:val="00263B05"/>
    <w:rsid w:val="0027221A"/>
    <w:rsid w:val="00275B61"/>
    <w:rsid w:val="00280FAF"/>
    <w:rsid w:val="00282656"/>
    <w:rsid w:val="002851E3"/>
    <w:rsid w:val="00296B83"/>
    <w:rsid w:val="002A2967"/>
    <w:rsid w:val="002B4015"/>
    <w:rsid w:val="002B5C01"/>
    <w:rsid w:val="002B78CE"/>
    <w:rsid w:val="002C2FB6"/>
    <w:rsid w:val="002D0181"/>
    <w:rsid w:val="002E5FA7"/>
    <w:rsid w:val="002F3309"/>
    <w:rsid w:val="003008CE"/>
    <w:rsid w:val="003009B7"/>
    <w:rsid w:val="00300E56"/>
    <w:rsid w:val="00301021"/>
    <w:rsid w:val="0030152C"/>
    <w:rsid w:val="0030469C"/>
    <w:rsid w:val="00321CA6"/>
    <w:rsid w:val="00323763"/>
    <w:rsid w:val="00323C5F"/>
    <w:rsid w:val="00334C09"/>
    <w:rsid w:val="003723D4"/>
    <w:rsid w:val="003818A7"/>
    <w:rsid w:val="00381905"/>
    <w:rsid w:val="00384CC8"/>
    <w:rsid w:val="003871FD"/>
    <w:rsid w:val="003A1E30"/>
    <w:rsid w:val="003A2829"/>
    <w:rsid w:val="003A7D1C"/>
    <w:rsid w:val="003B0D49"/>
    <w:rsid w:val="003B304B"/>
    <w:rsid w:val="003B3146"/>
    <w:rsid w:val="003B4EA5"/>
    <w:rsid w:val="003C32F6"/>
    <w:rsid w:val="003D1E02"/>
    <w:rsid w:val="003D2357"/>
    <w:rsid w:val="003F00D9"/>
    <w:rsid w:val="003F015E"/>
    <w:rsid w:val="003F2C8D"/>
    <w:rsid w:val="00400414"/>
    <w:rsid w:val="00402BD7"/>
    <w:rsid w:val="0040613B"/>
    <w:rsid w:val="00411A3B"/>
    <w:rsid w:val="0041446B"/>
    <w:rsid w:val="004353EE"/>
    <w:rsid w:val="00435A5A"/>
    <w:rsid w:val="0044071E"/>
    <w:rsid w:val="0044329C"/>
    <w:rsid w:val="00453E24"/>
    <w:rsid w:val="00457456"/>
    <w:rsid w:val="004577FE"/>
    <w:rsid w:val="00457B9C"/>
    <w:rsid w:val="0046164A"/>
    <w:rsid w:val="004628D2"/>
    <w:rsid w:val="00462DCD"/>
    <w:rsid w:val="004648AD"/>
    <w:rsid w:val="004703A9"/>
    <w:rsid w:val="004760DE"/>
    <w:rsid w:val="004763D7"/>
    <w:rsid w:val="00493EF4"/>
    <w:rsid w:val="004A004E"/>
    <w:rsid w:val="004A0A0B"/>
    <w:rsid w:val="004A24CF"/>
    <w:rsid w:val="004A5E57"/>
    <w:rsid w:val="004C0E57"/>
    <w:rsid w:val="004C194F"/>
    <w:rsid w:val="004C3D1D"/>
    <w:rsid w:val="004C3D84"/>
    <w:rsid w:val="004C7913"/>
    <w:rsid w:val="004E4DD6"/>
    <w:rsid w:val="004F5E36"/>
    <w:rsid w:val="00507B47"/>
    <w:rsid w:val="00507BEF"/>
    <w:rsid w:val="00507CC9"/>
    <w:rsid w:val="005119A5"/>
    <w:rsid w:val="00513288"/>
    <w:rsid w:val="0051499B"/>
    <w:rsid w:val="005278B7"/>
    <w:rsid w:val="005306AC"/>
    <w:rsid w:val="00532016"/>
    <w:rsid w:val="005346C8"/>
    <w:rsid w:val="00543E7D"/>
    <w:rsid w:val="00547A68"/>
    <w:rsid w:val="005531C9"/>
    <w:rsid w:val="00570C43"/>
    <w:rsid w:val="0058368E"/>
    <w:rsid w:val="00592274"/>
    <w:rsid w:val="005B2110"/>
    <w:rsid w:val="005B5959"/>
    <w:rsid w:val="005B61E6"/>
    <w:rsid w:val="005C5B71"/>
    <w:rsid w:val="005C77E1"/>
    <w:rsid w:val="005D05AB"/>
    <w:rsid w:val="005D668A"/>
    <w:rsid w:val="005D6A2F"/>
    <w:rsid w:val="005E0592"/>
    <w:rsid w:val="005E1A82"/>
    <w:rsid w:val="005E794C"/>
    <w:rsid w:val="005F0A28"/>
    <w:rsid w:val="005F0E5E"/>
    <w:rsid w:val="00600535"/>
    <w:rsid w:val="00610CD6"/>
    <w:rsid w:val="00620DEE"/>
    <w:rsid w:val="00621F92"/>
    <w:rsid w:val="00622608"/>
    <w:rsid w:val="0062280A"/>
    <w:rsid w:val="006231E1"/>
    <w:rsid w:val="00625639"/>
    <w:rsid w:val="00625DB4"/>
    <w:rsid w:val="00630DB6"/>
    <w:rsid w:val="00631B33"/>
    <w:rsid w:val="0064184D"/>
    <w:rsid w:val="006422CC"/>
    <w:rsid w:val="00651D18"/>
    <w:rsid w:val="00660B6F"/>
    <w:rsid w:val="00660E3E"/>
    <w:rsid w:val="00662E74"/>
    <w:rsid w:val="00664F9F"/>
    <w:rsid w:val="00671823"/>
    <w:rsid w:val="00680C23"/>
    <w:rsid w:val="006826DB"/>
    <w:rsid w:val="00683E23"/>
    <w:rsid w:val="00693766"/>
    <w:rsid w:val="006A3281"/>
    <w:rsid w:val="006B08F9"/>
    <w:rsid w:val="006B4888"/>
    <w:rsid w:val="006C2E45"/>
    <w:rsid w:val="006C359C"/>
    <w:rsid w:val="006C5579"/>
    <w:rsid w:val="006D6E8B"/>
    <w:rsid w:val="006D7209"/>
    <w:rsid w:val="006E737D"/>
    <w:rsid w:val="006F4372"/>
    <w:rsid w:val="00701D7F"/>
    <w:rsid w:val="00707DD1"/>
    <w:rsid w:val="00713973"/>
    <w:rsid w:val="00720A24"/>
    <w:rsid w:val="00731C19"/>
    <w:rsid w:val="00732386"/>
    <w:rsid w:val="0073514D"/>
    <w:rsid w:val="00742D87"/>
    <w:rsid w:val="007447F3"/>
    <w:rsid w:val="0075499F"/>
    <w:rsid w:val="007617CC"/>
    <w:rsid w:val="007661C8"/>
    <w:rsid w:val="0077098D"/>
    <w:rsid w:val="00777A0B"/>
    <w:rsid w:val="00780A66"/>
    <w:rsid w:val="00785BF9"/>
    <w:rsid w:val="007931FA"/>
    <w:rsid w:val="007A2EFD"/>
    <w:rsid w:val="007A4861"/>
    <w:rsid w:val="007A7BBA"/>
    <w:rsid w:val="007B0C50"/>
    <w:rsid w:val="007B48F9"/>
    <w:rsid w:val="007B52A7"/>
    <w:rsid w:val="007B71A9"/>
    <w:rsid w:val="007C1A43"/>
    <w:rsid w:val="007C34CC"/>
    <w:rsid w:val="007D0951"/>
    <w:rsid w:val="007F27C8"/>
    <w:rsid w:val="0080013E"/>
    <w:rsid w:val="00801F74"/>
    <w:rsid w:val="00813288"/>
    <w:rsid w:val="008168FC"/>
    <w:rsid w:val="00823E2A"/>
    <w:rsid w:val="00830996"/>
    <w:rsid w:val="008314D7"/>
    <w:rsid w:val="008345F1"/>
    <w:rsid w:val="00860080"/>
    <w:rsid w:val="00865B07"/>
    <w:rsid w:val="008667EA"/>
    <w:rsid w:val="0087637F"/>
    <w:rsid w:val="008926D4"/>
    <w:rsid w:val="00892AD5"/>
    <w:rsid w:val="008A1512"/>
    <w:rsid w:val="008C3A55"/>
    <w:rsid w:val="008D069D"/>
    <w:rsid w:val="008D3225"/>
    <w:rsid w:val="008D32B9"/>
    <w:rsid w:val="008D433B"/>
    <w:rsid w:val="008D4A16"/>
    <w:rsid w:val="008E209A"/>
    <w:rsid w:val="008E45BC"/>
    <w:rsid w:val="008E566E"/>
    <w:rsid w:val="008E5D22"/>
    <w:rsid w:val="008F1A8B"/>
    <w:rsid w:val="0090161A"/>
    <w:rsid w:val="00901EB6"/>
    <w:rsid w:val="009041F8"/>
    <w:rsid w:val="00904C62"/>
    <w:rsid w:val="00907CDC"/>
    <w:rsid w:val="009149E1"/>
    <w:rsid w:val="00922BA8"/>
    <w:rsid w:val="00924DAC"/>
    <w:rsid w:val="00927058"/>
    <w:rsid w:val="009417E0"/>
    <w:rsid w:val="00942750"/>
    <w:rsid w:val="009450CE"/>
    <w:rsid w:val="009459BB"/>
    <w:rsid w:val="00947179"/>
    <w:rsid w:val="0095164B"/>
    <w:rsid w:val="00954090"/>
    <w:rsid w:val="009573E7"/>
    <w:rsid w:val="00963E05"/>
    <w:rsid w:val="00964A45"/>
    <w:rsid w:val="00966DC6"/>
    <w:rsid w:val="00967843"/>
    <w:rsid w:val="00967D54"/>
    <w:rsid w:val="00971028"/>
    <w:rsid w:val="00993B84"/>
    <w:rsid w:val="00996483"/>
    <w:rsid w:val="00996F5A"/>
    <w:rsid w:val="009B041A"/>
    <w:rsid w:val="009C25F6"/>
    <w:rsid w:val="009C29DA"/>
    <w:rsid w:val="009C37C3"/>
    <w:rsid w:val="009C7C86"/>
    <w:rsid w:val="009D2FF7"/>
    <w:rsid w:val="009D5FD6"/>
    <w:rsid w:val="009E6297"/>
    <w:rsid w:val="009E7884"/>
    <w:rsid w:val="009E788A"/>
    <w:rsid w:val="009F0E08"/>
    <w:rsid w:val="00A079AE"/>
    <w:rsid w:val="00A1763D"/>
    <w:rsid w:val="00A17CEC"/>
    <w:rsid w:val="00A17FC9"/>
    <w:rsid w:val="00A26CBB"/>
    <w:rsid w:val="00A27EF0"/>
    <w:rsid w:val="00A42361"/>
    <w:rsid w:val="00A50B20"/>
    <w:rsid w:val="00A50F7F"/>
    <w:rsid w:val="00A51390"/>
    <w:rsid w:val="00A56D47"/>
    <w:rsid w:val="00A60D13"/>
    <w:rsid w:val="00A7223D"/>
    <w:rsid w:val="00A723AF"/>
    <w:rsid w:val="00A72745"/>
    <w:rsid w:val="00A76EFC"/>
    <w:rsid w:val="00A87D50"/>
    <w:rsid w:val="00A91010"/>
    <w:rsid w:val="00A955D5"/>
    <w:rsid w:val="00A97F29"/>
    <w:rsid w:val="00AA702E"/>
    <w:rsid w:val="00AA7D26"/>
    <w:rsid w:val="00AB0964"/>
    <w:rsid w:val="00AB5011"/>
    <w:rsid w:val="00AC3032"/>
    <w:rsid w:val="00AC7368"/>
    <w:rsid w:val="00AD0278"/>
    <w:rsid w:val="00AD16B9"/>
    <w:rsid w:val="00AE377D"/>
    <w:rsid w:val="00AF0EBA"/>
    <w:rsid w:val="00B02C8A"/>
    <w:rsid w:val="00B04627"/>
    <w:rsid w:val="00B0624C"/>
    <w:rsid w:val="00B1514E"/>
    <w:rsid w:val="00B17FBD"/>
    <w:rsid w:val="00B312AC"/>
    <w:rsid w:val="00B315A6"/>
    <w:rsid w:val="00B31813"/>
    <w:rsid w:val="00B33365"/>
    <w:rsid w:val="00B47076"/>
    <w:rsid w:val="00B515E3"/>
    <w:rsid w:val="00B57B36"/>
    <w:rsid w:val="00B57E6F"/>
    <w:rsid w:val="00B84250"/>
    <w:rsid w:val="00B84642"/>
    <w:rsid w:val="00B8686D"/>
    <w:rsid w:val="00B87A92"/>
    <w:rsid w:val="00B93F69"/>
    <w:rsid w:val="00BB1DDC"/>
    <w:rsid w:val="00BC30C9"/>
    <w:rsid w:val="00BD077D"/>
    <w:rsid w:val="00BE3E58"/>
    <w:rsid w:val="00C01616"/>
    <w:rsid w:val="00C0162B"/>
    <w:rsid w:val="00C041A7"/>
    <w:rsid w:val="00C068ED"/>
    <w:rsid w:val="00C208E9"/>
    <w:rsid w:val="00C22E0C"/>
    <w:rsid w:val="00C345B1"/>
    <w:rsid w:val="00C40142"/>
    <w:rsid w:val="00C4361C"/>
    <w:rsid w:val="00C4707A"/>
    <w:rsid w:val="00C52C3C"/>
    <w:rsid w:val="00C57182"/>
    <w:rsid w:val="00C57863"/>
    <w:rsid w:val="00C640AF"/>
    <w:rsid w:val="00C655FD"/>
    <w:rsid w:val="00C679BD"/>
    <w:rsid w:val="00C75407"/>
    <w:rsid w:val="00C77BFC"/>
    <w:rsid w:val="00C841C6"/>
    <w:rsid w:val="00C870A8"/>
    <w:rsid w:val="00C94434"/>
    <w:rsid w:val="00CA0D75"/>
    <w:rsid w:val="00CA1C95"/>
    <w:rsid w:val="00CA5A9C"/>
    <w:rsid w:val="00CC4C20"/>
    <w:rsid w:val="00CD3517"/>
    <w:rsid w:val="00CD5FE2"/>
    <w:rsid w:val="00CE7C68"/>
    <w:rsid w:val="00D02B4C"/>
    <w:rsid w:val="00D040C4"/>
    <w:rsid w:val="00D1228A"/>
    <w:rsid w:val="00D12629"/>
    <w:rsid w:val="00D20AD1"/>
    <w:rsid w:val="00D2582C"/>
    <w:rsid w:val="00D35267"/>
    <w:rsid w:val="00D46B7E"/>
    <w:rsid w:val="00D57C84"/>
    <w:rsid w:val="00D6057D"/>
    <w:rsid w:val="00D61887"/>
    <w:rsid w:val="00D71640"/>
    <w:rsid w:val="00D836C5"/>
    <w:rsid w:val="00D84576"/>
    <w:rsid w:val="00DA1399"/>
    <w:rsid w:val="00DA24C6"/>
    <w:rsid w:val="00DA4D7B"/>
    <w:rsid w:val="00DC1D6A"/>
    <w:rsid w:val="00DD271C"/>
    <w:rsid w:val="00DE264A"/>
    <w:rsid w:val="00DF5072"/>
    <w:rsid w:val="00E02D18"/>
    <w:rsid w:val="00E041E7"/>
    <w:rsid w:val="00E1578F"/>
    <w:rsid w:val="00E23CA1"/>
    <w:rsid w:val="00E409A8"/>
    <w:rsid w:val="00E47D61"/>
    <w:rsid w:val="00E50C12"/>
    <w:rsid w:val="00E65B91"/>
    <w:rsid w:val="00E66F60"/>
    <w:rsid w:val="00E7209D"/>
    <w:rsid w:val="00E72EAD"/>
    <w:rsid w:val="00E74528"/>
    <w:rsid w:val="00E77223"/>
    <w:rsid w:val="00E8528B"/>
    <w:rsid w:val="00E85B5E"/>
    <w:rsid w:val="00E85B94"/>
    <w:rsid w:val="00E978D0"/>
    <w:rsid w:val="00EA2D39"/>
    <w:rsid w:val="00EA3EF9"/>
    <w:rsid w:val="00EA4613"/>
    <w:rsid w:val="00EA7F91"/>
    <w:rsid w:val="00EB1523"/>
    <w:rsid w:val="00EB6434"/>
    <w:rsid w:val="00EC0E49"/>
    <w:rsid w:val="00EC101F"/>
    <w:rsid w:val="00EC1D9F"/>
    <w:rsid w:val="00ED633B"/>
    <w:rsid w:val="00EE0131"/>
    <w:rsid w:val="00EE17B0"/>
    <w:rsid w:val="00EF06D9"/>
    <w:rsid w:val="00EF0982"/>
    <w:rsid w:val="00EF36FF"/>
    <w:rsid w:val="00F02099"/>
    <w:rsid w:val="00F126A5"/>
    <w:rsid w:val="00F27422"/>
    <w:rsid w:val="00F3049E"/>
    <w:rsid w:val="00F30C64"/>
    <w:rsid w:val="00F32BA2"/>
    <w:rsid w:val="00F32CDB"/>
    <w:rsid w:val="00F3348F"/>
    <w:rsid w:val="00F37280"/>
    <w:rsid w:val="00F41EE4"/>
    <w:rsid w:val="00F45024"/>
    <w:rsid w:val="00F565FE"/>
    <w:rsid w:val="00F63A70"/>
    <w:rsid w:val="00F63D8C"/>
    <w:rsid w:val="00F7534E"/>
    <w:rsid w:val="00F762F0"/>
    <w:rsid w:val="00F93EDF"/>
    <w:rsid w:val="00FA1802"/>
    <w:rsid w:val="00FA21D0"/>
    <w:rsid w:val="00FA5F5F"/>
    <w:rsid w:val="00FB730C"/>
    <w:rsid w:val="00FC213F"/>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A955D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96091">
      <w:marLeft w:val="480"/>
      <w:marRight w:val="0"/>
      <w:marTop w:val="0"/>
      <w:marBottom w:val="0"/>
      <w:divBdr>
        <w:top w:val="none" w:sz="0" w:space="0" w:color="auto"/>
        <w:left w:val="none" w:sz="0" w:space="0" w:color="auto"/>
        <w:bottom w:val="none" w:sz="0" w:space="0" w:color="auto"/>
        <w:right w:val="none" w:sz="0" w:space="0" w:color="auto"/>
      </w:divBdr>
    </w:div>
    <w:div w:id="271985767">
      <w:marLeft w:val="480"/>
      <w:marRight w:val="0"/>
      <w:marTop w:val="0"/>
      <w:marBottom w:val="0"/>
      <w:divBdr>
        <w:top w:val="none" w:sz="0" w:space="0" w:color="auto"/>
        <w:left w:val="none" w:sz="0" w:space="0" w:color="auto"/>
        <w:bottom w:val="none" w:sz="0" w:space="0" w:color="auto"/>
        <w:right w:val="none" w:sz="0" w:space="0" w:color="auto"/>
      </w:divBdr>
    </w:div>
    <w:div w:id="456803089">
      <w:marLeft w:val="480"/>
      <w:marRight w:val="0"/>
      <w:marTop w:val="0"/>
      <w:marBottom w:val="0"/>
      <w:divBdr>
        <w:top w:val="none" w:sz="0" w:space="0" w:color="auto"/>
        <w:left w:val="none" w:sz="0" w:space="0" w:color="auto"/>
        <w:bottom w:val="none" w:sz="0" w:space="0" w:color="auto"/>
        <w:right w:val="none" w:sz="0" w:space="0" w:color="auto"/>
      </w:divBdr>
    </w:div>
    <w:div w:id="528876580">
      <w:marLeft w:val="480"/>
      <w:marRight w:val="0"/>
      <w:marTop w:val="0"/>
      <w:marBottom w:val="0"/>
      <w:divBdr>
        <w:top w:val="none" w:sz="0" w:space="0" w:color="auto"/>
        <w:left w:val="none" w:sz="0" w:space="0" w:color="auto"/>
        <w:bottom w:val="none" w:sz="0" w:space="0" w:color="auto"/>
        <w:right w:val="none" w:sz="0" w:space="0" w:color="auto"/>
      </w:divBdr>
    </w:div>
    <w:div w:id="538324969">
      <w:marLeft w:val="480"/>
      <w:marRight w:val="0"/>
      <w:marTop w:val="0"/>
      <w:marBottom w:val="0"/>
      <w:divBdr>
        <w:top w:val="none" w:sz="0" w:space="0" w:color="auto"/>
        <w:left w:val="none" w:sz="0" w:space="0" w:color="auto"/>
        <w:bottom w:val="none" w:sz="0" w:space="0" w:color="auto"/>
        <w:right w:val="none" w:sz="0" w:space="0" w:color="auto"/>
      </w:divBdr>
    </w:div>
    <w:div w:id="565191253">
      <w:marLeft w:val="480"/>
      <w:marRight w:val="0"/>
      <w:marTop w:val="0"/>
      <w:marBottom w:val="0"/>
      <w:divBdr>
        <w:top w:val="none" w:sz="0" w:space="0" w:color="auto"/>
        <w:left w:val="none" w:sz="0" w:space="0" w:color="auto"/>
        <w:bottom w:val="none" w:sz="0" w:space="0" w:color="auto"/>
        <w:right w:val="none" w:sz="0" w:space="0" w:color="auto"/>
      </w:divBdr>
    </w:div>
    <w:div w:id="660548798">
      <w:marLeft w:val="640"/>
      <w:marRight w:val="0"/>
      <w:marTop w:val="0"/>
      <w:marBottom w:val="0"/>
      <w:divBdr>
        <w:top w:val="none" w:sz="0" w:space="0" w:color="auto"/>
        <w:left w:val="none" w:sz="0" w:space="0" w:color="auto"/>
        <w:bottom w:val="none" w:sz="0" w:space="0" w:color="auto"/>
        <w:right w:val="none" w:sz="0" w:space="0" w:color="auto"/>
      </w:divBdr>
    </w:div>
    <w:div w:id="694112745">
      <w:marLeft w:val="480"/>
      <w:marRight w:val="0"/>
      <w:marTop w:val="0"/>
      <w:marBottom w:val="0"/>
      <w:divBdr>
        <w:top w:val="none" w:sz="0" w:space="0" w:color="auto"/>
        <w:left w:val="none" w:sz="0" w:space="0" w:color="auto"/>
        <w:bottom w:val="none" w:sz="0" w:space="0" w:color="auto"/>
        <w:right w:val="none" w:sz="0" w:space="0" w:color="auto"/>
      </w:divBdr>
    </w:div>
    <w:div w:id="729420375">
      <w:marLeft w:val="480"/>
      <w:marRight w:val="0"/>
      <w:marTop w:val="0"/>
      <w:marBottom w:val="0"/>
      <w:divBdr>
        <w:top w:val="none" w:sz="0" w:space="0" w:color="auto"/>
        <w:left w:val="none" w:sz="0" w:space="0" w:color="auto"/>
        <w:bottom w:val="none" w:sz="0" w:space="0" w:color="auto"/>
        <w:right w:val="none" w:sz="0" w:space="0" w:color="auto"/>
      </w:divBdr>
    </w:div>
    <w:div w:id="765347795">
      <w:marLeft w:val="48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6501630">
      <w:marLeft w:val="480"/>
      <w:marRight w:val="0"/>
      <w:marTop w:val="0"/>
      <w:marBottom w:val="0"/>
      <w:divBdr>
        <w:top w:val="none" w:sz="0" w:space="0" w:color="auto"/>
        <w:left w:val="none" w:sz="0" w:space="0" w:color="auto"/>
        <w:bottom w:val="none" w:sz="0" w:space="0" w:color="auto"/>
        <w:right w:val="none" w:sz="0" w:space="0" w:color="auto"/>
      </w:divBdr>
    </w:div>
    <w:div w:id="910581083">
      <w:marLeft w:val="48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5996">
      <w:marLeft w:val="480"/>
      <w:marRight w:val="0"/>
      <w:marTop w:val="0"/>
      <w:marBottom w:val="0"/>
      <w:divBdr>
        <w:top w:val="none" w:sz="0" w:space="0" w:color="auto"/>
        <w:left w:val="none" w:sz="0" w:space="0" w:color="auto"/>
        <w:bottom w:val="none" w:sz="0" w:space="0" w:color="auto"/>
        <w:right w:val="none" w:sz="0" w:space="0" w:color="auto"/>
      </w:divBdr>
    </w:div>
    <w:div w:id="1109277844">
      <w:marLeft w:val="480"/>
      <w:marRight w:val="0"/>
      <w:marTop w:val="0"/>
      <w:marBottom w:val="0"/>
      <w:divBdr>
        <w:top w:val="none" w:sz="0" w:space="0" w:color="auto"/>
        <w:left w:val="none" w:sz="0" w:space="0" w:color="auto"/>
        <w:bottom w:val="none" w:sz="0" w:space="0" w:color="auto"/>
        <w:right w:val="none" w:sz="0" w:space="0" w:color="auto"/>
      </w:divBdr>
    </w:div>
    <w:div w:id="1180201947">
      <w:marLeft w:val="640"/>
      <w:marRight w:val="0"/>
      <w:marTop w:val="0"/>
      <w:marBottom w:val="0"/>
      <w:divBdr>
        <w:top w:val="none" w:sz="0" w:space="0" w:color="auto"/>
        <w:left w:val="none" w:sz="0" w:space="0" w:color="auto"/>
        <w:bottom w:val="none" w:sz="0" w:space="0" w:color="auto"/>
        <w:right w:val="none" w:sz="0" w:space="0" w:color="auto"/>
      </w:divBdr>
    </w:div>
    <w:div w:id="1195387600">
      <w:marLeft w:val="480"/>
      <w:marRight w:val="0"/>
      <w:marTop w:val="0"/>
      <w:marBottom w:val="0"/>
      <w:divBdr>
        <w:top w:val="none" w:sz="0" w:space="0" w:color="auto"/>
        <w:left w:val="none" w:sz="0" w:space="0" w:color="auto"/>
        <w:bottom w:val="none" w:sz="0" w:space="0" w:color="auto"/>
        <w:right w:val="none" w:sz="0" w:space="0" w:color="auto"/>
      </w:divBdr>
    </w:div>
    <w:div w:id="1265191218">
      <w:marLeft w:val="480"/>
      <w:marRight w:val="0"/>
      <w:marTop w:val="0"/>
      <w:marBottom w:val="0"/>
      <w:divBdr>
        <w:top w:val="none" w:sz="0" w:space="0" w:color="auto"/>
        <w:left w:val="none" w:sz="0" w:space="0" w:color="auto"/>
        <w:bottom w:val="none" w:sz="0" w:space="0" w:color="auto"/>
        <w:right w:val="none" w:sz="0" w:space="0" w:color="auto"/>
      </w:divBdr>
    </w:div>
    <w:div w:id="1277179725">
      <w:marLeft w:val="48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9348790">
      <w:marLeft w:val="640"/>
      <w:marRight w:val="0"/>
      <w:marTop w:val="0"/>
      <w:marBottom w:val="0"/>
      <w:divBdr>
        <w:top w:val="none" w:sz="0" w:space="0" w:color="auto"/>
        <w:left w:val="none" w:sz="0" w:space="0" w:color="auto"/>
        <w:bottom w:val="none" w:sz="0" w:space="0" w:color="auto"/>
        <w:right w:val="none" w:sz="0" w:space="0" w:color="auto"/>
      </w:divBdr>
    </w:div>
    <w:div w:id="1581940232">
      <w:marLeft w:val="480"/>
      <w:marRight w:val="0"/>
      <w:marTop w:val="0"/>
      <w:marBottom w:val="0"/>
      <w:divBdr>
        <w:top w:val="none" w:sz="0" w:space="0" w:color="auto"/>
        <w:left w:val="none" w:sz="0" w:space="0" w:color="auto"/>
        <w:bottom w:val="none" w:sz="0" w:space="0" w:color="auto"/>
        <w:right w:val="none" w:sz="0" w:space="0" w:color="auto"/>
      </w:divBdr>
    </w:div>
    <w:div w:id="1598830972">
      <w:marLeft w:val="640"/>
      <w:marRight w:val="0"/>
      <w:marTop w:val="0"/>
      <w:marBottom w:val="0"/>
      <w:divBdr>
        <w:top w:val="none" w:sz="0" w:space="0" w:color="auto"/>
        <w:left w:val="none" w:sz="0" w:space="0" w:color="auto"/>
        <w:bottom w:val="none" w:sz="0" w:space="0" w:color="auto"/>
        <w:right w:val="none" w:sz="0" w:space="0" w:color="auto"/>
      </w:divBdr>
    </w:div>
    <w:div w:id="1633897808">
      <w:marLeft w:val="64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9024">
      <w:marLeft w:val="480"/>
      <w:marRight w:val="0"/>
      <w:marTop w:val="0"/>
      <w:marBottom w:val="0"/>
      <w:divBdr>
        <w:top w:val="none" w:sz="0" w:space="0" w:color="auto"/>
        <w:left w:val="none" w:sz="0" w:space="0" w:color="auto"/>
        <w:bottom w:val="none" w:sz="0" w:space="0" w:color="auto"/>
        <w:right w:val="none" w:sz="0" w:space="0" w:color="auto"/>
      </w:divBdr>
    </w:div>
    <w:div w:id="1757046038">
      <w:marLeft w:val="640"/>
      <w:marRight w:val="0"/>
      <w:marTop w:val="0"/>
      <w:marBottom w:val="0"/>
      <w:divBdr>
        <w:top w:val="none" w:sz="0" w:space="0" w:color="auto"/>
        <w:left w:val="none" w:sz="0" w:space="0" w:color="auto"/>
        <w:bottom w:val="none" w:sz="0" w:space="0" w:color="auto"/>
        <w:right w:val="none" w:sz="0" w:space="0" w:color="auto"/>
      </w:divBdr>
    </w:div>
    <w:div w:id="1771928124">
      <w:marLeft w:val="480"/>
      <w:marRight w:val="0"/>
      <w:marTop w:val="0"/>
      <w:marBottom w:val="0"/>
      <w:divBdr>
        <w:top w:val="none" w:sz="0" w:space="0" w:color="auto"/>
        <w:left w:val="none" w:sz="0" w:space="0" w:color="auto"/>
        <w:bottom w:val="none" w:sz="0" w:space="0" w:color="auto"/>
        <w:right w:val="none" w:sz="0" w:space="0" w:color="auto"/>
      </w:divBdr>
    </w:div>
    <w:div w:id="1950043047">
      <w:marLeft w:val="480"/>
      <w:marRight w:val="0"/>
      <w:marTop w:val="0"/>
      <w:marBottom w:val="0"/>
      <w:divBdr>
        <w:top w:val="none" w:sz="0" w:space="0" w:color="auto"/>
        <w:left w:val="none" w:sz="0" w:space="0" w:color="auto"/>
        <w:bottom w:val="none" w:sz="0" w:space="0" w:color="auto"/>
        <w:right w:val="none" w:sz="0" w:space="0" w:color="auto"/>
      </w:divBdr>
    </w:div>
    <w:div w:id="2026900842">
      <w:marLeft w:val="48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5.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8.png"/><Relationship Id="rId10" Type="http://schemas.openxmlformats.org/officeDocument/2006/relationships/chart" Target="charts/chart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Dati%20per%20CET%20Bolog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Dati%20per%20CET%20Bologn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esktop\CARTELLE\Searches\CHIMICA\ASSEGNO%20DI%20RICERCA\Recupero%20P\ANTONIO%20L\Dati%20analisi%2031%203%202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esktop\CARTELLE\Searches\CHIMICA\ASSEGNO%20DI%20RICERCA\Recupero%20P\ANTONIO%20L\Dati%20analisi%2031%203%202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esktop\Dati%20per%20CET%20Bologn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Desktop\Dati%20per%20CET%20Bologn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sus\Desktop\CARTELLE\Searches\CHIMICA\ASSEGNO%20DI%20RICERCA\Missioni\Bologna\CET%20per%20Bologna\Dati%20per%20CET%20Bologn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sus\Desktop\CARTELLE\Searches\CHIMICA\ASSEGNO%20DI%20RICERCA\Recupero%20P\ALESSIO\Dati%20processati%20da%20m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it-IT">
                <a:solidFill>
                  <a:sysClr val="windowText" lastClr="000000"/>
                </a:solidFill>
              </a:rPr>
              <a:t>b)</a:t>
            </a:r>
          </a:p>
        </c:rich>
      </c:tx>
      <c:layout>
        <c:manualLayout>
          <c:xMode val="edge"/>
          <c:yMode val="edge"/>
          <c:x val="0.226846181264379"/>
          <c:y val="7.22540607931909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it-IT"/>
        </a:p>
      </c:txPr>
    </c:title>
    <c:autoTitleDeleted val="0"/>
    <c:plotArea>
      <c:layout>
        <c:manualLayout>
          <c:layoutTarget val="inner"/>
          <c:xMode val="edge"/>
          <c:yMode val="edge"/>
          <c:x val="0.20288821921951114"/>
          <c:y val="4.6712962962962977E-2"/>
          <c:w val="0.78063719401329978"/>
          <c:h val="0.78784186965342651"/>
        </c:manualLayout>
      </c:layout>
      <c:barChart>
        <c:barDir val="col"/>
        <c:grouping val="clustered"/>
        <c:varyColors val="0"/>
        <c:ser>
          <c:idx val="0"/>
          <c:order val="0"/>
          <c:tx>
            <c:v>Blank</c:v>
          </c:tx>
          <c:spPr>
            <a:solidFill>
              <a:schemeClr val="bg1">
                <a:lumMod val="85000"/>
              </a:schemeClr>
            </a:solidFill>
            <a:ln>
              <a:solidFill>
                <a:sysClr val="windowText" lastClr="000000"/>
              </a:solidFill>
            </a:ln>
            <a:effectLst/>
          </c:spPr>
          <c:invertIfNegative val="0"/>
          <c:errBars>
            <c:errBarType val="both"/>
            <c:errValType val="cust"/>
            <c:noEndCap val="0"/>
            <c:plus>
              <c:numRef>
                <c:f>Mineralizzazioni!$K$9:$P$9</c:f>
                <c:numCache>
                  <c:formatCode>General</c:formatCode>
                  <c:ptCount val="6"/>
                  <c:pt idx="0">
                    <c:v>20</c:v>
                  </c:pt>
                  <c:pt idx="1">
                    <c:v>120</c:v>
                  </c:pt>
                  <c:pt idx="2">
                    <c:v>48.550000000000004</c:v>
                  </c:pt>
                  <c:pt idx="3">
                    <c:v>49.650000000000006</c:v>
                  </c:pt>
                  <c:pt idx="4">
                    <c:v>33</c:v>
                  </c:pt>
                  <c:pt idx="5">
                    <c:v>2.4000000000000004</c:v>
                  </c:pt>
                </c:numCache>
              </c:numRef>
            </c:plus>
            <c:minus>
              <c:numRef>
                <c:f>Mineralizzazioni!$K$9:$P$9</c:f>
                <c:numCache>
                  <c:formatCode>General</c:formatCode>
                  <c:ptCount val="6"/>
                  <c:pt idx="0">
                    <c:v>20</c:v>
                  </c:pt>
                  <c:pt idx="1">
                    <c:v>120</c:v>
                  </c:pt>
                  <c:pt idx="2">
                    <c:v>48.550000000000004</c:v>
                  </c:pt>
                  <c:pt idx="3">
                    <c:v>49.650000000000006</c:v>
                  </c:pt>
                  <c:pt idx="4">
                    <c:v>33</c:v>
                  </c:pt>
                  <c:pt idx="5">
                    <c:v>2.4000000000000004</c:v>
                  </c:pt>
                </c:numCache>
              </c:numRef>
            </c:minus>
            <c:spPr>
              <a:noFill/>
              <a:ln w="12700" cap="flat" cmpd="sng" algn="ctr">
                <a:solidFill>
                  <a:schemeClr val="tx1">
                    <a:lumMod val="65000"/>
                    <a:lumOff val="35000"/>
                  </a:schemeClr>
                </a:solidFill>
                <a:round/>
              </a:ln>
              <a:effectLst/>
            </c:spPr>
          </c:errBars>
          <c:cat>
            <c:strRef>
              <c:f>Mineralizzazioni!$K$5:$P$5</c:f>
              <c:strCache>
                <c:ptCount val="6"/>
                <c:pt idx="0">
                  <c:v>Ni</c:v>
                </c:pt>
                <c:pt idx="1">
                  <c:v>Pb</c:v>
                </c:pt>
                <c:pt idx="2">
                  <c:v>Zn</c:v>
                </c:pt>
                <c:pt idx="3">
                  <c:v>Cu</c:v>
                </c:pt>
                <c:pt idx="4">
                  <c:v>Cr</c:v>
                </c:pt>
                <c:pt idx="5">
                  <c:v>Cd</c:v>
                </c:pt>
              </c:strCache>
            </c:strRef>
          </c:cat>
          <c:val>
            <c:numRef>
              <c:f>Mineralizzazioni!$K$6:$P$6</c:f>
              <c:numCache>
                <c:formatCode>General</c:formatCode>
                <c:ptCount val="6"/>
                <c:pt idx="0">
                  <c:v>127</c:v>
                </c:pt>
                <c:pt idx="1">
                  <c:v>710</c:v>
                </c:pt>
                <c:pt idx="2">
                  <c:v>971</c:v>
                </c:pt>
                <c:pt idx="3">
                  <c:v>993</c:v>
                </c:pt>
                <c:pt idx="4">
                  <c:v>221</c:v>
                </c:pt>
                <c:pt idx="5">
                  <c:v>24</c:v>
                </c:pt>
              </c:numCache>
            </c:numRef>
          </c:val>
          <c:extLst>
            <c:ext xmlns:c16="http://schemas.microsoft.com/office/drawing/2014/chart" uri="{C3380CC4-5D6E-409C-BE32-E72D297353CC}">
              <c16:uniqueId val="{00000000-C86B-4E97-AEE4-A79B273A8E95}"/>
            </c:ext>
          </c:extLst>
        </c:ser>
        <c:ser>
          <c:idx val="1"/>
          <c:order val="1"/>
          <c:tx>
            <c:v>6%NaCl</c:v>
          </c:tx>
          <c:spPr>
            <a:solidFill>
              <a:srgbClr val="FF0000"/>
            </a:solidFill>
            <a:ln>
              <a:solidFill>
                <a:sysClr val="windowText" lastClr="000000"/>
              </a:solidFill>
            </a:ln>
            <a:effectLst/>
          </c:spPr>
          <c:invertIfNegative val="0"/>
          <c:errBars>
            <c:errBarType val="both"/>
            <c:errValType val="cust"/>
            <c:noEndCap val="0"/>
            <c:plus>
              <c:numRef>
                <c:f>Mineralizzazioni!$K$10:$P$10</c:f>
                <c:numCache>
                  <c:formatCode>General</c:formatCode>
                  <c:ptCount val="6"/>
                  <c:pt idx="0">
                    <c:v>10</c:v>
                  </c:pt>
                  <c:pt idx="1">
                    <c:v>12</c:v>
                  </c:pt>
                  <c:pt idx="2">
                    <c:v>25</c:v>
                  </c:pt>
                  <c:pt idx="3">
                    <c:v>23</c:v>
                  </c:pt>
                  <c:pt idx="4">
                    <c:v>5</c:v>
                  </c:pt>
                  <c:pt idx="5">
                    <c:v>2</c:v>
                  </c:pt>
                </c:numCache>
              </c:numRef>
            </c:plus>
            <c:minus>
              <c:numRef>
                <c:f>Mineralizzazioni!$K$10:$P$10</c:f>
                <c:numCache>
                  <c:formatCode>General</c:formatCode>
                  <c:ptCount val="6"/>
                  <c:pt idx="0">
                    <c:v>10</c:v>
                  </c:pt>
                  <c:pt idx="1">
                    <c:v>12</c:v>
                  </c:pt>
                  <c:pt idx="2">
                    <c:v>25</c:v>
                  </c:pt>
                  <c:pt idx="3">
                    <c:v>23</c:v>
                  </c:pt>
                  <c:pt idx="4">
                    <c:v>5</c:v>
                  </c:pt>
                  <c:pt idx="5">
                    <c:v>2</c:v>
                  </c:pt>
                </c:numCache>
              </c:numRef>
            </c:minus>
            <c:spPr>
              <a:noFill/>
              <a:ln w="12700" cap="flat" cmpd="sng" algn="ctr">
                <a:solidFill>
                  <a:srgbClr val="C00000"/>
                </a:solidFill>
                <a:round/>
              </a:ln>
              <a:effectLst/>
            </c:spPr>
          </c:errBars>
          <c:cat>
            <c:strRef>
              <c:f>Mineralizzazioni!$K$5:$P$5</c:f>
              <c:strCache>
                <c:ptCount val="6"/>
                <c:pt idx="0">
                  <c:v>Ni</c:v>
                </c:pt>
                <c:pt idx="1">
                  <c:v>Pb</c:v>
                </c:pt>
                <c:pt idx="2">
                  <c:v>Zn</c:v>
                </c:pt>
                <c:pt idx="3">
                  <c:v>Cu</c:v>
                </c:pt>
                <c:pt idx="4">
                  <c:v>Cr</c:v>
                </c:pt>
                <c:pt idx="5">
                  <c:v>Cd</c:v>
                </c:pt>
              </c:strCache>
            </c:strRef>
          </c:cat>
          <c:val>
            <c:numRef>
              <c:f>Mineralizzazioni!$K$7:$P$7</c:f>
              <c:numCache>
                <c:formatCode>General</c:formatCode>
                <c:ptCount val="6"/>
                <c:pt idx="0" formatCode="0.0">
                  <c:v>75</c:v>
                </c:pt>
                <c:pt idx="1">
                  <c:v>120</c:v>
                </c:pt>
                <c:pt idx="2" formatCode="0.0">
                  <c:v>424</c:v>
                </c:pt>
                <c:pt idx="3" formatCode="0.0">
                  <c:v>238</c:v>
                </c:pt>
                <c:pt idx="4" formatCode="0.0">
                  <c:v>14</c:v>
                </c:pt>
                <c:pt idx="5" formatCode="0.0">
                  <c:v>6</c:v>
                </c:pt>
              </c:numCache>
            </c:numRef>
          </c:val>
          <c:extLst>
            <c:ext xmlns:c16="http://schemas.microsoft.com/office/drawing/2014/chart" uri="{C3380CC4-5D6E-409C-BE32-E72D297353CC}">
              <c16:uniqueId val="{00000001-C86B-4E97-AEE4-A79B273A8E95}"/>
            </c:ext>
          </c:extLst>
        </c:ser>
        <c:dLbls>
          <c:showLegendKey val="0"/>
          <c:showVal val="0"/>
          <c:showCatName val="0"/>
          <c:showSerName val="0"/>
          <c:showPercent val="0"/>
          <c:showBubbleSize val="0"/>
        </c:dLbls>
        <c:gapWidth val="219"/>
        <c:overlap val="-27"/>
        <c:axId val="933183408"/>
        <c:axId val="933179088"/>
      </c:barChart>
      <c:catAx>
        <c:axId val="933183408"/>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933179088"/>
        <c:crosses val="autoZero"/>
        <c:auto val="1"/>
        <c:lblAlgn val="ctr"/>
        <c:lblOffset val="100"/>
        <c:noMultiLvlLbl val="0"/>
      </c:catAx>
      <c:valAx>
        <c:axId val="933179088"/>
        <c:scaling>
          <c:logBase val="10"/>
          <c:orientation val="minMax"/>
          <c:max val="1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solidFill>
                      <a:sysClr val="windowText" lastClr="000000"/>
                    </a:solidFill>
                  </a:rPr>
                  <a:t>HMs content (mg/kg)</a:t>
                </a:r>
              </a:p>
            </c:rich>
          </c:tx>
          <c:layout>
            <c:manualLayout>
              <c:xMode val="edge"/>
              <c:yMode val="edge"/>
              <c:x val="2.2862368541380886E-2"/>
              <c:y val="0.141488521609742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933183408"/>
        <c:crosses val="autoZero"/>
        <c:crossBetween val="between"/>
      </c:valAx>
      <c:spPr>
        <a:noFill/>
        <a:ln>
          <a:solidFill>
            <a:sysClr val="windowText" lastClr="000000"/>
          </a:solidFill>
        </a:ln>
        <a:effectLst/>
      </c:spPr>
    </c:plotArea>
    <c:legend>
      <c:legendPos val="l"/>
      <c:layout>
        <c:manualLayout>
          <c:xMode val="edge"/>
          <c:yMode val="edge"/>
          <c:x val="0.76983031442057392"/>
          <c:y val="5.6501458762349972E-2"/>
          <c:w val="0.20730733347128288"/>
          <c:h val="0.1674343832020997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legend>
    <c:plotVisOnly val="1"/>
    <c:dispBlanksAs val="gap"/>
    <c:showDLblsOverMax val="0"/>
  </c:chart>
  <c:spPr>
    <a:noFill/>
    <a:ln w="9525" cap="flat" cmpd="sng" algn="ctr">
      <a:no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it-IT">
                <a:solidFill>
                  <a:sysClr val="windowText" lastClr="000000"/>
                </a:solidFill>
              </a:rPr>
              <a:t>a)</a:t>
            </a:r>
          </a:p>
        </c:rich>
      </c:tx>
      <c:layout>
        <c:manualLayout>
          <c:xMode val="edge"/>
          <c:yMode val="edge"/>
          <c:x val="0.53270121217014621"/>
          <c:y val="6.48150038074752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it-IT"/>
        </a:p>
      </c:txPr>
    </c:title>
    <c:autoTitleDeleted val="0"/>
    <c:plotArea>
      <c:layout>
        <c:manualLayout>
          <c:layoutTarget val="inner"/>
          <c:xMode val="edge"/>
          <c:yMode val="edge"/>
          <c:x val="0.19610266059586956"/>
          <c:y val="6.0601851851851872E-2"/>
          <c:w val="0.78109534123660307"/>
          <c:h val="0.80612022201113198"/>
        </c:manualLayout>
      </c:layout>
      <c:barChart>
        <c:barDir val="col"/>
        <c:grouping val="clustered"/>
        <c:varyColors val="0"/>
        <c:ser>
          <c:idx val="0"/>
          <c:order val="0"/>
          <c:tx>
            <c:v>Blank</c:v>
          </c:tx>
          <c:spPr>
            <a:solidFill>
              <a:schemeClr val="bg1">
                <a:lumMod val="85000"/>
              </a:schemeClr>
            </a:solidFill>
            <a:ln>
              <a:solidFill>
                <a:sysClr val="windowText" lastClr="000000"/>
              </a:solidFill>
            </a:ln>
            <a:effectLst/>
          </c:spPr>
          <c:invertIfNegative val="0"/>
          <c:errBars>
            <c:errBarType val="both"/>
            <c:errValType val="cust"/>
            <c:noEndCap val="0"/>
            <c:plus>
              <c:numRef>
                <c:f>Mineralizzazioni!$Q$9:$Q$10</c:f>
                <c:numCache>
                  <c:formatCode>General</c:formatCode>
                  <c:ptCount val="2"/>
                  <c:pt idx="0">
                    <c:v>16</c:v>
                  </c:pt>
                  <c:pt idx="1">
                    <c:v>6</c:v>
                  </c:pt>
                </c:numCache>
              </c:numRef>
            </c:plus>
            <c:minus>
              <c:numRef>
                <c:f>Mineralizzazioni!$Q$9:$Q$10</c:f>
                <c:numCache>
                  <c:formatCode>General</c:formatCode>
                  <c:ptCount val="2"/>
                  <c:pt idx="0">
                    <c:v>16</c:v>
                  </c:pt>
                  <c:pt idx="1">
                    <c:v>6</c:v>
                  </c:pt>
                </c:numCache>
              </c:numRef>
            </c:minus>
            <c:spPr>
              <a:noFill/>
              <a:ln w="12700" cap="flat" cmpd="sng" algn="ctr">
                <a:solidFill>
                  <a:schemeClr val="tx1">
                    <a:lumMod val="65000"/>
                    <a:lumOff val="35000"/>
                  </a:schemeClr>
                </a:solidFill>
                <a:round/>
              </a:ln>
              <a:effectLst/>
            </c:spPr>
          </c:errBars>
          <c:cat>
            <c:strRef>
              <c:f>Mineralizzazioni!$Q$5:$R$5</c:f>
              <c:strCache>
                <c:ptCount val="2"/>
                <c:pt idx="0">
                  <c:v>P2O5</c:v>
                </c:pt>
                <c:pt idx="1">
                  <c:v>K</c:v>
                </c:pt>
              </c:strCache>
            </c:strRef>
          </c:cat>
          <c:val>
            <c:numRef>
              <c:f>Mineralizzazioni!$Q$6:$R$6</c:f>
              <c:numCache>
                <c:formatCode>General</c:formatCode>
                <c:ptCount val="2"/>
                <c:pt idx="0">
                  <c:v>188</c:v>
                </c:pt>
                <c:pt idx="1">
                  <c:v>143</c:v>
                </c:pt>
              </c:numCache>
            </c:numRef>
          </c:val>
          <c:extLst>
            <c:ext xmlns:c16="http://schemas.microsoft.com/office/drawing/2014/chart" uri="{C3380CC4-5D6E-409C-BE32-E72D297353CC}">
              <c16:uniqueId val="{00000000-8B36-4691-9E0E-AF1240C3186D}"/>
            </c:ext>
          </c:extLst>
        </c:ser>
        <c:ser>
          <c:idx val="1"/>
          <c:order val="1"/>
          <c:tx>
            <c:v>6%NaCl</c:v>
          </c:tx>
          <c:spPr>
            <a:solidFill>
              <a:srgbClr val="00B0F0"/>
            </a:solidFill>
            <a:ln>
              <a:solidFill>
                <a:sysClr val="windowText" lastClr="000000"/>
              </a:solidFill>
            </a:ln>
            <a:effectLst/>
          </c:spPr>
          <c:invertIfNegative val="0"/>
          <c:errBars>
            <c:errBarType val="both"/>
            <c:errValType val="cust"/>
            <c:noEndCap val="0"/>
            <c:plus>
              <c:numRef>
                <c:f>Mineralizzazioni!$R$9:$R$10</c:f>
                <c:numCache>
                  <c:formatCode>General</c:formatCode>
                  <c:ptCount val="2"/>
                  <c:pt idx="0">
                    <c:v>7.15</c:v>
                  </c:pt>
                  <c:pt idx="1">
                    <c:v>7.65</c:v>
                  </c:pt>
                </c:numCache>
              </c:numRef>
            </c:plus>
            <c:minus>
              <c:numRef>
                <c:f>Mineralizzazioni!$R$9:$R$10</c:f>
                <c:numCache>
                  <c:formatCode>General</c:formatCode>
                  <c:ptCount val="2"/>
                  <c:pt idx="0">
                    <c:v>7.15</c:v>
                  </c:pt>
                  <c:pt idx="1">
                    <c:v>7.65</c:v>
                  </c:pt>
                </c:numCache>
              </c:numRef>
            </c:minus>
            <c:spPr>
              <a:noFill/>
              <a:ln w="12700" cap="flat" cmpd="sng" algn="ctr">
                <a:solidFill>
                  <a:srgbClr val="0070C0"/>
                </a:solidFill>
                <a:round/>
              </a:ln>
              <a:effectLst/>
            </c:spPr>
          </c:errBars>
          <c:cat>
            <c:strRef>
              <c:f>Mineralizzazioni!$Q$5:$R$5</c:f>
              <c:strCache>
                <c:ptCount val="2"/>
                <c:pt idx="0">
                  <c:v>P2O5</c:v>
                </c:pt>
                <c:pt idx="1">
                  <c:v>K</c:v>
                </c:pt>
              </c:strCache>
            </c:strRef>
          </c:cat>
          <c:val>
            <c:numRef>
              <c:f>Mineralizzazioni!$Q$7:$R$7</c:f>
              <c:numCache>
                <c:formatCode>0.0</c:formatCode>
                <c:ptCount val="2"/>
                <c:pt idx="0" formatCode="General">
                  <c:v>181</c:v>
                </c:pt>
                <c:pt idx="1">
                  <c:v>153</c:v>
                </c:pt>
              </c:numCache>
            </c:numRef>
          </c:val>
          <c:extLst>
            <c:ext xmlns:c16="http://schemas.microsoft.com/office/drawing/2014/chart" uri="{C3380CC4-5D6E-409C-BE32-E72D297353CC}">
              <c16:uniqueId val="{00000001-8B36-4691-9E0E-AF1240C3186D}"/>
            </c:ext>
          </c:extLst>
        </c:ser>
        <c:dLbls>
          <c:showLegendKey val="0"/>
          <c:showVal val="0"/>
          <c:showCatName val="0"/>
          <c:showSerName val="0"/>
          <c:showPercent val="0"/>
          <c:showBubbleSize val="0"/>
        </c:dLbls>
        <c:gapWidth val="219"/>
        <c:overlap val="-27"/>
        <c:axId val="933183408"/>
        <c:axId val="933179088"/>
      </c:barChart>
      <c:catAx>
        <c:axId val="933183408"/>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933179088"/>
        <c:crosses val="autoZero"/>
        <c:auto val="1"/>
        <c:lblAlgn val="ctr"/>
        <c:lblOffset val="100"/>
        <c:noMultiLvlLbl val="0"/>
      </c:catAx>
      <c:valAx>
        <c:axId val="933179088"/>
        <c:scaling>
          <c:orientation val="minMax"/>
          <c:max val="2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solidFill>
                      <a:sysClr val="windowText" lastClr="000000"/>
                    </a:solidFill>
                  </a:rPr>
                  <a:t>K and P</a:t>
                </a:r>
                <a:r>
                  <a:rPr lang="it-IT" baseline="-25000">
                    <a:solidFill>
                      <a:sysClr val="windowText" lastClr="000000"/>
                    </a:solidFill>
                  </a:rPr>
                  <a:t>2</a:t>
                </a:r>
                <a:r>
                  <a:rPr lang="it-IT">
                    <a:solidFill>
                      <a:sysClr val="windowText" lastClr="000000"/>
                    </a:solidFill>
                  </a:rPr>
                  <a:t>O</a:t>
                </a:r>
                <a:r>
                  <a:rPr lang="it-IT" baseline="-25000">
                    <a:solidFill>
                      <a:sysClr val="windowText" lastClr="000000"/>
                    </a:solidFill>
                  </a:rPr>
                  <a:t>5</a:t>
                </a:r>
                <a:r>
                  <a:rPr lang="it-IT">
                    <a:solidFill>
                      <a:sysClr val="windowText" lastClr="000000"/>
                    </a:solidFill>
                  </a:rPr>
                  <a:t> content (g/kg)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933183408"/>
        <c:crosses val="autoZero"/>
        <c:crossBetween val="between"/>
      </c:valAx>
      <c:spPr>
        <a:noFill/>
        <a:ln>
          <a:solidFill>
            <a:sysClr val="windowText" lastClr="000000"/>
          </a:solidFill>
        </a:ln>
        <a:effectLst/>
      </c:spPr>
    </c:plotArea>
    <c:legend>
      <c:legendPos val="l"/>
      <c:layout>
        <c:manualLayout>
          <c:xMode val="edge"/>
          <c:yMode val="edge"/>
          <c:x val="0.76045859181473574"/>
          <c:y val="7.5456046558487269E-2"/>
          <c:w val="0.2048736050213964"/>
          <c:h val="0.1674343832020997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it-IT">
                <a:solidFill>
                  <a:sysClr val="windowText" lastClr="000000"/>
                </a:solidFill>
              </a:rPr>
              <a:t>b)</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it-IT"/>
        </a:p>
      </c:txPr>
    </c:title>
    <c:autoTitleDeleted val="0"/>
    <c:plotArea>
      <c:layout>
        <c:manualLayout>
          <c:layoutTarget val="inner"/>
          <c:xMode val="edge"/>
          <c:yMode val="edge"/>
          <c:x val="0.16153777325037166"/>
          <c:y val="2.5428331875182269E-2"/>
          <c:w val="0.79007935961676123"/>
          <c:h val="0.75774739306235372"/>
        </c:manualLayout>
      </c:layout>
      <c:scatterChart>
        <c:scatterStyle val="lineMarker"/>
        <c:varyColors val="0"/>
        <c:ser>
          <c:idx val="0"/>
          <c:order val="0"/>
          <c:tx>
            <c:strRef>
              <c:f>Tabelle1!$L$39</c:f>
              <c:strCache>
                <c:ptCount val="1"/>
                <c:pt idx="0">
                  <c:v>Cu</c:v>
                </c:pt>
              </c:strCache>
            </c:strRef>
          </c:tx>
          <c:spPr>
            <a:ln w="12700" cap="rnd">
              <a:solidFill>
                <a:srgbClr val="FF0000"/>
              </a:solidFill>
              <a:prstDash val="dash"/>
              <a:round/>
            </a:ln>
            <a:effectLst/>
          </c:spPr>
          <c:marker>
            <c:symbol val="circle"/>
            <c:size val="5"/>
            <c:spPr>
              <a:solidFill>
                <a:srgbClr val="FF0000"/>
              </a:solidFill>
              <a:ln w="12700">
                <a:solidFill>
                  <a:srgbClr val="FF0000"/>
                </a:solidFill>
              </a:ln>
              <a:effectLst/>
            </c:spPr>
          </c:marker>
          <c:xVal>
            <c:numRef>
              <c:f>Tabelle1!$K$40:$K$44</c:f>
              <c:numCache>
                <c:formatCode>General</c:formatCode>
                <c:ptCount val="5"/>
                <c:pt idx="0">
                  <c:v>5</c:v>
                </c:pt>
                <c:pt idx="1">
                  <c:v>10</c:v>
                </c:pt>
                <c:pt idx="2">
                  <c:v>30</c:v>
                </c:pt>
                <c:pt idx="3">
                  <c:v>50</c:v>
                </c:pt>
                <c:pt idx="4">
                  <c:v>100</c:v>
                </c:pt>
              </c:numCache>
            </c:numRef>
          </c:xVal>
          <c:yVal>
            <c:numRef>
              <c:f>Tabelle1!$L$40:$L$44</c:f>
              <c:numCache>
                <c:formatCode>0.00</c:formatCode>
                <c:ptCount val="5"/>
                <c:pt idx="0">
                  <c:v>0</c:v>
                </c:pt>
                <c:pt idx="1">
                  <c:v>0.22499999999999998</c:v>
                </c:pt>
                <c:pt idx="2">
                  <c:v>0.4</c:v>
                </c:pt>
                <c:pt idx="3">
                  <c:v>0.1</c:v>
                </c:pt>
              </c:numCache>
            </c:numRef>
          </c:yVal>
          <c:smooth val="0"/>
          <c:extLst>
            <c:ext xmlns:c16="http://schemas.microsoft.com/office/drawing/2014/chart" uri="{C3380CC4-5D6E-409C-BE32-E72D297353CC}">
              <c16:uniqueId val="{00000000-CB84-4C36-B18A-4C126D8E74E6}"/>
            </c:ext>
          </c:extLst>
        </c:ser>
        <c:ser>
          <c:idx val="1"/>
          <c:order val="1"/>
          <c:tx>
            <c:strRef>
              <c:f>Tabelle1!$M$39</c:f>
              <c:strCache>
                <c:ptCount val="1"/>
                <c:pt idx="0">
                  <c:v>Zn</c:v>
                </c:pt>
              </c:strCache>
            </c:strRef>
          </c:tx>
          <c:spPr>
            <a:ln w="12700" cap="rnd">
              <a:solidFill>
                <a:srgbClr val="00B050"/>
              </a:solidFill>
              <a:prstDash val="dash"/>
              <a:round/>
            </a:ln>
            <a:effectLst/>
          </c:spPr>
          <c:marker>
            <c:symbol val="circle"/>
            <c:size val="5"/>
            <c:spPr>
              <a:solidFill>
                <a:srgbClr val="00B050"/>
              </a:solidFill>
              <a:ln w="12700">
                <a:solidFill>
                  <a:srgbClr val="00B050"/>
                </a:solidFill>
              </a:ln>
              <a:effectLst/>
            </c:spPr>
          </c:marker>
          <c:xVal>
            <c:numRef>
              <c:f>Tabelle1!$K$40:$K$44</c:f>
              <c:numCache>
                <c:formatCode>General</c:formatCode>
                <c:ptCount val="5"/>
                <c:pt idx="0">
                  <c:v>5</c:v>
                </c:pt>
                <c:pt idx="1">
                  <c:v>10</c:v>
                </c:pt>
                <c:pt idx="2">
                  <c:v>30</c:v>
                </c:pt>
                <c:pt idx="3">
                  <c:v>50</c:v>
                </c:pt>
                <c:pt idx="4">
                  <c:v>100</c:v>
                </c:pt>
              </c:numCache>
            </c:numRef>
          </c:xVal>
          <c:yVal>
            <c:numRef>
              <c:f>Tabelle1!$M$40:$M$44</c:f>
              <c:numCache>
                <c:formatCode>0.00</c:formatCode>
                <c:ptCount val="5"/>
                <c:pt idx="0">
                  <c:v>2.1749999999999998</c:v>
                </c:pt>
                <c:pt idx="1">
                  <c:v>5.0000000000000001E-3</c:v>
                </c:pt>
                <c:pt idx="2">
                  <c:v>0</c:v>
                </c:pt>
                <c:pt idx="3">
                  <c:v>0</c:v>
                </c:pt>
              </c:numCache>
            </c:numRef>
          </c:yVal>
          <c:smooth val="0"/>
          <c:extLst>
            <c:ext xmlns:c16="http://schemas.microsoft.com/office/drawing/2014/chart" uri="{C3380CC4-5D6E-409C-BE32-E72D297353CC}">
              <c16:uniqueId val="{00000001-CB84-4C36-B18A-4C126D8E74E6}"/>
            </c:ext>
          </c:extLst>
        </c:ser>
        <c:ser>
          <c:idx val="2"/>
          <c:order val="2"/>
          <c:tx>
            <c:strRef>
              <c:f>Tabelle1!$N$39</c:f>
              <c:strCache>
                <c:ptCount val="1"/>
                <c:pt idx="0">
                  <c:v>Pb</c:v>
                </c:pt>
              </c:strCache>
            </c:strRef>
          </c:tx>
          <c:spPr>
            <a:ln w="12700" cap="rnd">
              <a:solidFill>
                <a:schemeClr val="tx1"/>
              </a:solidFill>
              <a:prstDash val="dash"/>
              <a:round/>
            </a:ln>
            <a:effectLst/>
          </c:spPr>
          <c:marker>
            <c:symbol val="circle"/>
            <c:size val="5"/>
            <c:spPr>
              <a:solidFill>
                <a:schemeClr val="tx1"/>
              </a:solidFill>
              <a:ln w="12700">
                <a:solidFill>
                  <a:schemeClr val="tx1"/>
                </a:solidFill>
              </a:ln>
              <a:effectLst/>
            </c:spPr>
          </c:marker>
          <c:xVal>
            <c:numRef>
              <c:f>Tabelle1!$K$40:$K$44</c:f>
              <c:numCache>
                <c:formatCode>General</c:formatCode>
                <c:ptCount val="5"/>
                <c:pt idx="0">
                  <c:v>5</c:v>
                </c:pt>
                <c:pt idx="1">
                  <c:v>10</c:v>
                </c:pt>
                <c:pt idx="2">
                  <c:v>30</c:v>
                </c:pt>
                <c:pt idx="3">
                  <c:v>50</c:v>
                </c:pt>
                <c:pt idx="4">
                  <c:v>100</c:v>
                </c:pt>
              </c:numCache>
            </c:numRef>
          </c:xVal>
          <c:yVal>
            <c:numRef>
              <c:f>Tabelle1!$N$40:$N$44</c:f>
              <c:numCache>
                <c:formatCode>0.00</c:formatCode>
                <c:ptCount val="5"/>
                <c:pt idx="0">
                  <c:v>3</c:v>
                </c:pt>
                <c:pt idx="1">
                  <c:v>2.25</c:v>
                </c:pt>
                <c:pt idx="2">
                  <c:v>1</c:v>
                </c:pt>
                <c:pt idx="3">
                  <c:v>2</c:v>
                </c:pt>
              </c:numCache>
            </c:numRef>
          </c:yVal>
          <c:smooth val="0"/>
          <c:extLst>
            <c:ext xmlns:c16="http://schemas.microsoft.com/office/drawing/2014/chart" uri="{C3380CC4-5D6E-409C-BE32-E72D297353CC}">
              <c16:uniqueId val="{00000002-CB84-4C36-B18A-4C126D8E74E6}"/>
            </c:ext>
          </c:extLst>
        </c:ser>
        <c:ser>
          <c:idx val="4"/>
          <c:order val="4"/>
          <c:tx>
            <c:strRef>
              <c:f>Tabelle1!$P$39</c:f>
              <c:strCache>
                <c:ptCount val="1"/>
                <c:pt idx="0">
                  <c:v>Cd</c:v>
                </c:pt>
              </c:strCache>
            </c:strRef>
          </c:tx>
          <c:spPr>
            <a:ln w="12700" cap="rnd">
              <a:solidFill>
                <a:schemeClr val="bg1">
                  <a:lumMod val="75000"/>
                </a:schemeClr>
              </a:solidFill>
              <a:prstDash val="dash"/>
              <a:round/>
            </a:ln>
            <a:effectLst/>
          </c:spPr>
          <c:marker>
            <c:symbol val="circle"/>
            <c:size val="5"/>
            <c:spPr>
              <a:solidFill>
                <a:schemeClr val="bg1">
                  <a:lumMod val="75000"/>
                </a:schemeClr>
              </a:solidFill>
              <a:ln w="12700">
                <a:solidFill>
                  <a:schemeClr val="bg1">
                    <a:lumMod val="75000"/>
                  </a:schemeClr>
                </a:solidFill>
              </a:ln>
              <a:effectLst/>
            </c:spPr>
          </c:marker>
          <c:xVal>
            <c:numRef>
              <c:f>Tabelle1!$K$40:$K$44</c:f>
              <c:numCache>
                <c:formatCode>General</c:formatCode>
                <c:ptCount val="5"/>
                <c:pt idx="0">
                  <c:v>5</c:v>
                </c:pt>
                <c:pt idx="1">
                  <c:v>10</c:v>
                </c:pt>
                <c:pt idx="2">
                  <c:v>30</c:v>
                </c:pt>
                <c:pt idx="3">
                  <c:v>50</c:v>
                </c:pt>
                <c:pt idx="4">
                  <c:v>100</c:v>
                </c:pt>
              </c:numCache>
            </c:numRef>
          </c:xVal>
          <c:yVal>
            <c:numRef>
              <c:f>Tabelle1!$P$40:$P$44</c:f>
              <c:numCache>
                <c:formatCode>0.00</c:formatCode>
                <c:ptCount val="5"/>
                <c:pt idx="0">
                  <c:v>0</c:v>
                </c:pt>
                <c:pt idx="1">
                  <c:v>0.15</c:v>
                </c:pt>
                <c:pt idx="2">
                  <c:v>0.2</c:v>
                </c:pt>
                <c:pt idx="3">
                  <c:v>0</c:v>
                </c:pt>
              </c:numCache>
            </c:numRef>
          </c:yVal>
          <c:smooth val="0"/>
          <c:extLst>
            <c:ext xmlns:c16="http://schemas.microsoft.com/office/drawing/2014/chart" uri="{C3380CC4-5D6E-409C-BE32-E72D297353CC}">
              <c16:uniqueId val="{00000003-CB84-4C36-B18A-4C126D8E74E6}"/>
            </c:ext>
          </c:extLst>
        </c:ser>
        <c:dLbls>
          <c:showLegendKey val="0"/>
          <c:showVal val="0"/>
          <c:showCatName val="0"/>
          <c:showSerName val="0"/>
          <c:showPercent val="0"/>
          <c:showBubbleSize val="0"/>
        </c:dLbls>
        <c:axId val="429988463"/>
        <c:axId val="429974063"/>
        <c:extLst>
          <c:ext xmlns:c15="http://schemas.microsoft.com/office/drawing/2012/chart" uri="{02D57815-91ED-43cb-92C2-25804820EDAC}">
            <c15:filteredScatterSeries>
              <c15:ser>
                <c:idx val="3"/>
                <c:order val="3"/>
                <c:tx>
                  <c:strRef>
                    <c:extLst>
                      <c:ext uri="{02D57815-91ED-43cb-92C2-25804820EDAC}">
                        <c15:formulaRef>
                          <c15:sqref>Tabelle1!$O$39</c15:sqref>
                        </c15:formulaRef>
                      </c:ext>
                    </c:extLst>
                    <c:strCache>
                      <c:ptCount val="1"/>
                      <c:pt idx="0">
                        <c:v>Ni</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c:ext uri="{02D57815-91ED-43cb-92C2-25804820EDAC}">
                        <c15:formulaRef>
                          <c15:sqref>Tabelle1!$K$40:$K$44</c15:sqref>
                        </c15:formulaRef>
                      </c:ext>
                    </c:extLst>
                    <c:numCache>
                      <c:formatCode>General</c:formatCode>
                      <c:ptCount val="5"/>
                      <c:pt idx="0">
                        <c:v>5</c:v>
                      </c:pt>
                      <c:pt idx="1">
                        <c:v>10</c:v>
                      </c:pt>
                      <c:pt idx="2">
                        <c:v>30</c:v>
                      </c:pt>
                      <c:pt idx="3">
                        <c:v>50</c:v>
                      </c:pt>
                      <c:pt idx="4">
                        <c:v>100</c:v>
                      </c:pt>
                    </c:numCache>
                  </c:numRef>
                </c:xVal>
                <c:yVal>
                  <c:numRef>
                    <c:extLst>
                      <c:ext uri="{02D57815-91ED-43cb-92C2-25804820EDAC}">
                        <c15:formulaRef>
                          <c15:sqref>Tabelle1!$O$40:$O$44</c15:sqref>
                        </c15:formulaRef>
                      </c:ext>
                    </c:extLst>
                    <c:numCache>
                      <c:formatCode>0.00</c:formatCode>
                      <c:ptCount val="5"/>
                      <c:pt idx="0">
                        <c:v>0</c:v>
                      </c:pt>
                      <c:pt idx="1">
                        <c:v>0</c:v>
                      </c:pt>
                      <c:pt idx="2">
                        <c:v>0</c:v>
                      </c:pt>
                      <c:pt idx="3">
                        <c:v>0</c:v>
                      </c:pt>
                    </c:numCache>
                  </c:numRef>
                </c:yVal>
                <c:smooth val="0"/>
                <c:extLst>
                  <c:ext xmlns:c16="http://schemas.microsoft.com/office/drawing/2014/chart" uri="{C3380CC4-5D6E-409C-BE32-E72D297353CC}">
                    <c16:uniqueId val="{00000004-CB84-4C36-B18A-4C126D8E74E6}"/>
                  </c:ext>
                </c:extLst>
              </c15:ser>
            </c15:filteredScatterSeries>
          </c:ext>
        </c:extLst>
      </c:scatterChart>
      <c:valAx>
        <c:axId val="429988463"/>
        <c:scaling>
          <c:orientation val="minMax"/>
          <c:max val="51"/>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solidFill>
                      <a:sysClr val="windowText" lastClr="000000"/>
                    </a:solidFill>
                  </a:rPr>
                  <a:t>L/S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429974063"/>
        <c:crosses val="autoZero"/>
        <c:crossBetween val="midCat"/>
        <c:majorUnit val="10"/>
      </c:valAx>
      <c:valAx>
        <c:axId val="429974063"/>
        <c:scaling>
          <c:orientation val="minMax"/>
          <c:max val="3.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solidFill>
                      <a:sysClr val="windowText" lastClr="000000"/>
                    </a:solidFill>
                  </a:rPr>
                  <a:t>HM 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0.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429988463"/>
        <c:crosses val="autoZero"/>
        <c:crossBetween val="midCat"/>
      </c:valAx>
      <c:spPr>
        <a:noFill/>
        <a:ln>
          <a:solidFill>
            <a:sysClr val="windowText" lastClr="000000"/>
          </a:solidFill>
        </a:ln>
        <a:effectLst/>
      </c:spPr>
    </c:plotArea>
    <c:legend>
      <c:legendPos val="r"/>
      <c:layout>
        <c:manualLayout>
          <c:xMode val="edge"/>
          <c:yMode val="edge"/>
          <c:x val="0.70372535928638291"/>
          <c:y val="4.7335603319855285E-2"/>
          <c:w val="0.20133666218551949"/>
          <c:h val="0.3031639710576718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solidFill>
                  <a:sysClr val="windowText" lastClr="000000"/>
                </a:solidFill>
              </a:rPr>
              <a:t>a)</a:t>
            </a:r>
          </a:p>
        </c:rich>
      </c:tx>
      <c:layout>
        <c:manualLayout>
          <c:xMode val="edge"/>
          <c:yMode val="edge"/>
          <c:x val="0.44378192168546499"/>
          <c:y val="5.07733408323959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6031668972121729"/>
          <c:y val="2.8252405949256341E-2"/>
          <c:w val="0.78222992924026369"/>
          <c:h val="0.72522983905857918"/>
        </c:manualLayout>
      </c:layout>
      <c:scatterChart>
        <c:scatterStyle val="lineMarker"/>
        <c:varyColors val="0"/>
        <c:ser>
          <c:idx val="0"/>
          <c:order val="0"/>
          <c:tx>
            <c:strRef>
              <c:f>Tabelle1!$L$25</c:f>
              <c:strCache>
                <c:ptCount val="1"/>
                <c:pt idx="0">
                  <c:v>g K/kg of ash</c:v>
                </c:pt>
              </c:strCache>
            </c:strRef>
          </c:tx>
          <c:spPr>
            <a:ln w="12700" cap="rnd">
              <a:solidFill>
                <a:srgbClr val="00B050"/>
              </a:solidFill>
              <a:prstDash val="dash"/>
              <a:round/>
            </a:ln>
            <a:effectLst/>
          </c:spPr>
          <c:marker>
            <c:symbol val="circle"/>
            <c:size val="5"/>
            <c:spPr>
              <a:solidFill>
                <a:srgbClr val="00B050"/>
              </a:solidFill>
              <a:ln w="12700">
                <a:solidFill>
                  <a:srgbClr val="00B050"/>
                </a:solidFill>
              </a:ln>
              <a:effectLst/>
            </c:spPr>
          </c:marker>
          <c:errBars>
            <c:errDir val="y"/>
            <c:errBarType val="both"/>
            <c:errValType val="cust"/>
            <c:noEndCap val="0"/>
            <c:plus>
              <c:numRef>
                <c:f>Tabelle1!$M$26:$M$30</c:f>
                <c:numCache>
                  <c:formatCode>General</c:formatCode>
                  <c:ptCount val="5"/>
                  <c:pt idx="0">
                    <c:v>2</c:v>
                  </c:pt>
                  <c:pt idx="1">
                    <c:v>1.6510943340705941</c:v>
                  </c:pt>
                  <c:pt idx="2">
                    <c:v>4</c:v>
                  </c:pt>
                  <c:pt idx="3">
                    <c:v>5</c:v>
                  </c:pt>
                </c:numCache>
              </c:numRef>
            </c:plus>
            <c:minus>
              <c:numRef>
                <c:f>Tabelle1!$M$26:$M$30</c:f>
                <c:numCache>
                  <c:formatCode>General</c:formatCode>
                  <c:ptCount val="5"/>
                  <c:pt idx="0">
                    <c:v>2</c:v>
                  </c:pt>
                  <c:pt idx="1">
                    <c:v>1.6510943340705941</c:v>
                  </c:pt>
                  <c:pt idx="2">
                    <c:v>4</c:v>
                  </c:pt>
                  <c:pt idx="3">
                    <c:v>5</c:v>
                  </c:pt>
                </c:numCache>
              </c:numRef>
            </c:minus>
            <c:spPr>
              <a:noFill/>
              <a:ln w="12700" cap="flat" cmpd="sng" algn="ctr">
                <a:solidFill>
                  <a:srgbClr val="00B050"/>
                </a:solidFill>
                <a:round/>
              </a:ln>
              <a:effectLst/>
            </c:spPr>
          </c:errBars>
          <c:xVal>
            <c:numRef>
              <c:f>Tabelle1!$K$26:$K$30</c:f>
              <c:numCache>
                <c:formatCode>General</c:formatCode>
                <c:ptCount val="5"/>
                <c:pt idx="0">
                  <c:v>5</c:v>
                </c:pt>
                <c:pt idx="1">
                  <c:v>10</c:v>
                </c:pt>
                <c:pt idx="2">
                  <c:v>30</c:v>
                </c:pt>
                <c:pt idx="3">
                  <c:v>50</c:v>
                </c:pt>
                <c:pt idx="4">
                  <c:v>100</c:v>
                </c:pt>
              </c:numCache>
            </c:numRef>
          </c:xVal>
          <c:yVal>
            <c:numRef>
              <c:f>Tabelle1!$L$26:$L$30</c:f>
              <c:numCache>
                <c:formatCode>0.00</c:formatCode>
                <c:ptCount val="5"/>
                <c:pt idx="0">
                  <c:v>101.1425</c:v>
                </c:pt>
                <c:pt idx="1">
                  <c:v>93.327500000000001</c:v>
                </c:pt>
                <c:pt idx="2">
                  <c:v>85.004999999999995</c:v>
                </c:pt>
                <c:pt idx="3">
                  <c:v>88.050000000000011</c:v>
                </c:pt>
                <c:pt idx="4">
                  <c:v>99.14500000000001</c:v>
                </c:pt>
              </c:numCache>
            </c:numRef>
          </c:yVal>
          <c:smooth val="0"/>
          <c:extLst>
            <c:ext xmlns:c16="http://schemas.microsoft.com/office/drawing/2014/chart" uri="{C3380CC4-5D6E-409C-BE32-E72D297353CC}">
              <c16:uniqueId val="{00000000-3E6E-4BDB-8A30-922EAECEA96C}"/>
            </c:ext>
          </c:extLst>
        </c:ser>
        <c:dLbls>
          <c:showLegendKey val="0"/>
          <c:showVal val="0"/>
          <c:showCatName val="0"/>
          <c:showSerName val="0"/>
          <c:showPercent val="0"/>
          <c:showBubbleSize val="0"/>
        </c:dLbls>
        <c:axId val="429923663"/>
        <c:axId val="429931343"/>
      </c:scatterChart>
      <c:valAx>
        <c:axId val="429923663"/>
        <c:scaling>
          <c:orientation val="minMax"/>
          <c:max val="102"/>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solidFill>
                      <a:sysClr val="windowText" lastClr="000000"/>
                    </a:solidFill>
                  </a:rPr>
                  <a:t>L/S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429931343"/>
        <c:crosses val="autoZero"/>
        <c:crossBetween val="midCat"/>
        <c:majorUnit val="10"/>
      </c:valAx>
      <c:valAx>
        <c:axId val="429931343"/>
        <c:scaling>
          <c:orientation val="minMax"/>
          <c:max val="1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solidFill>
                      <a:sysClr val="windowText" lastClr="000000"/>
                    </a:solidFill>
                  </a:rPr>
                  <a:t>g K/kg of ash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429923663"/>
        <c:crosses val="autoZero"/>
        <c:crossBetween val="midCat"/>
      </c:valAx>
      <c:spPr>
        <a:noFill/>
        <a:ln>
          <a:solidFill>
            <a:sysClr val="windowText" lastClr="000000"/>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it-IT">
                <a:solidFill>
                  <a:sysClr val="windowText" lastClr="000000"/>
                </a:solidFill>
              </a:rPr>
              <a:t>b)</a:t>
            </a:r>
          </a:p>
        </c:rich>
      </c:tx>
      <c:layout>
        <c:manualLayout>
          <c:xMode val="edge"/>
          <c:yMode val="edge"/>
          <c:x val="0.18568172399502694"/>
          <c:y val="6.78243110236220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it-IT"/>
        </a:p>
      </c:txPr>
    </c:title>
    <c:autoTitleDeleted val="0"/>
    <c:plotArea>
      <c:layout>
        <c:manualLayout>
          <c:layoutTarget val="inner"/>
          <c:xMode val="edge"/>
          <c:yMode val="edge"/>
          <c:x val="0.17145410277662659"/>
          <c:y val="4.6712962962962977E-2"/>
          <c:w val="0.79799037764193947"/>
          <c:h val="0.76754478346456689"/>
        </c:manualLayout>
      </c:layout>
      <c:barChart>
        <c:barDir val="col"/>
        <c:grouping val="clustered"/>
        <c:varyColors val="0"/>
        <c:ser>
          <c:idx val="0"/>
          <c:order val="0"/>
          <c:tx>
            <c:v>Blank</c:v>
          </c:tx>
          <c:spPr>
            <a:solidFill>
              <a:schemeClr val="bg1">
                <a:lumMod val="85000"/>
              </a:schemeClr>
            </a:solidFill>
            <a:ln>
              <a:solidFill>
                <a:sysClr val="windowText" lastClr="000000"/>
              </a:solidFill>
            </a:ln>
            <a:effectLst/>
          </c:spPr>
          <c:invertIfNegative val="0"/>
          <c:errBars>
            <c:errBarType val="both"/>
            <c:errValType val="cust"/>
            <c:noEndCap val="0"/>
            <c:plus>
              <c:numRef>
                <c:f>leaching!$L$6:$O$6</c:f>
                <c:numCache>
                  <c:formatCode>General</c:formatCode>
                  <c:ptCount val="4"/>
                  <c:pt idx="0">
                    <c:v>1.9091883092036772</c:v>
                  </c:pt>
                  <c:pt idx="1">
                    <c:v>0.8</c:v>
                  </c:pt>
                  <c:pt idx="2">
                    <c:v>1.5384272271814932</c:v>
                  </c:pt>
                  <c:pt idx="3">
                    <c:v>4.4911023145771072</c:v>
                  </c:pt>
                </c:numCache>
              </c:numRef>
            </c:plus>
            <c:minus>
              <c:numRef>
                <c:f>leaching!$L$6:$O$6</c:f>
                <c:numCache>
                  <c:formatCode>General</c:formatCode>
                  <c:ptCount val="4"/>
                  <c:pt idx="0">
                    <c:v>1.9091883092036772</c:v>
                  </c:pt>
                  <c:pt idx="1">
                    <c:v>0.8</c:v>
                  </c:pt>
                  <c:pt idx="2">
                    <c:v>1.5384272271814932</c:v>
                  </c:pt>
                  <c:pt idx="3">
                    <c:v>4.4911023145771072</c:v>
                  </c:pt>
                </c:numCache>
              </c:numRef>
            </c:minus>
            <c:spPr>
              <a:noFill/>
              <a:ln w="12700" cap="flat" cmpd="sng" algn="ctr">
                <a:solidFill>
                  <a:schemeClr val="tx1">
                    <a:lumMod val="65000"/>
                    <a:lumOff val="35000"/>
                  </a:schemeClr>
                </a:solidFill>
                <a:round/>
              </a:ln>
              <a:effectLst/>
            </c:spPr>
          </c:errBars>
          <c:cat>
            <c:strRef>
              <c:f>leaching!$L$3:$O$3</c:f>
              <c:strCache>
                <c:ptCount val="4"/>
                <c:pt idx="0">
                  <c:v>Ni</c:v>
                </c:pt>
                <c:pt idx="1">
                  <c:v>Pb</c:v>
                </c:pt>
                <c:pt idx="2">
                  <c:v>Zn</c:v>
                </c:pt>
                <c:pt idx="3">
                  <c:v>Cu</c:v>
                </c:pt>
              </c:strCache>
            </c:strRef>
          </c:cat>
          <c:val>
            <c:numRef>
              <c:f>leaching!$L$4:$O$4</c:f>
              <c:numCache>
                <c:formatCode>General</c:formatCode>
                <c:ptCount val="4"/>
                <c:pt idx="0">
                  <c:v>4.5999999999999996</c:v>
                </c:pt>
                <c:pt idx="1">
                  <c:v>18.5</c:v>
                </c:pt>
                <c:pt idx="2">
                  <c:v>45.068333333333328</c:v>
                </c:pt>
                <c:pt idx="3">
                  <c:v>27.3</c:v>
                </c:pt>
              </c:numCache>
            </c:numRef>
          </c:val>
          <c:extLst>
            <c:ext xmlns:c16="http://schemas.microsoft.com/office/drawing/2014/chart" uri="{C3380CC4-5D6E-409C-BE32-E72D297353CC}">
              <c16:uniqueId val="{00000000-1076-449F-B766-2920CDC2226A}"/>
            </c:ext>
          </c:extLst>
        </c:ser>
        <c:ser>
          <c:idx val="1"/>
          <c:order val="1"/>
          <c:tx>
            <c:v>6%NaCl</c:v>
          </c:tx>
          <c:spPr>
            <a:solidFill>
              <a:srgbClr val="FF0000"/>
            </a:solidFill>
            <a:ln>
              <a:solidFill>
                <a:sysClr val="windowText" lastClr="000000"/>
              </a:solidFill>
            </a:ln>
            <a:effectLst/>
          </c:spPr>
          <c:invertIfNegative val="0"/>
          <c:errBars>
            <c:errBarType val="both"/>
            <c:errValType val="cust"/>
            <c:noEndCap val="0"/>
            <c:plus>
              <c:numRef>
                <c:f>leaching!$L$7:$O$7</c:f>
                <c:numCache>
                  <c:formatCode>General</c:formatCode>
                  <c:ptCount val="4"/>
                  <c:pt idx="0">
                    <c:v>0.5557607398872374</c:v>
                  </c:pt>
                  <c:pt idx="1">
                    <c:v>0.64821022824389318</c:v>
                  </c:pt>
                  <c:pt idx="2">
                    <c:v>5.3067284334763691</c:v>
                  </c:pt>
                  <c:pt idx="3">
                    <c:v>3.1879115420600987</c:v>
                  </c:pt>
                </c:numCache>
              </c:numRef>
            </c:plus>
            <c:minus>
              <c:numRef>
                <c:f>leaching!$L$7:$O$7</c:f>
                <c:numCache>
                  <c:formatCode>General</c:formatCode>
                  <c:ptCount val="4"/>
                  <c:pt idx="0">
                    <c:v>0.5557607398872374</c:v>
                  </c:pt>
                  <c:pt idx="1">
                    <c:v>0.64821022824389318</c:v>
                  </c:pt>
                  <c:pt idx="2">
                    <c:v>5.3067284334763691</c:v>
                  </c:pt>
                  <c:pt idx="3">
                    <c:v>3.1879115420600987</c:v>
                  </c:pt>
                </c:numCache>
              </c:numRef>
            </c:minus>
            <c:spPr>
              <a:noFill/>
              <a:ln w="12700" cap="flat" cmpd="sng" algn="ctr">
                <a:solidFill>
                  <a:srgbClr val="C00000"/>
                </a:solidFill>
                <a:round/>
              </a:ln>
              <a:effectLst/>
            </c:spPr>
          </c:errBars>
          <c:cat>
            <c:strRef>
              <c:f>leaching!$L$3:$O$3</c:f>
              <c:strCache>
                <c:ptCount val="4"/>
                <c:pt idx="0">
                  <c:v>Ni</c:v>
                </c:pt>
                <c:pt idx="1">
                  <c:v>Pb</c:v>
                </c:pt>
                <c:pt idx="2">
                  <c:v>Zn</c:v>
                </c:pt>
                <c:pt idx="3">
                  <c:v>Cu</c:v>
                </c:pt>
              </c:strCache>
            </c:strRef>
          </c:cat>
          <c:val>
            <c:numRef>
              <c:f>leaching!$L$5:$O$5</c:f>
              <c:numCache>
                <c:formatCode>General</c:formatCode>
                <c:ptCount val="4"/>
                <c:pt idx="0">
                  <c:v>4.8819999999999997</c:v>
                </c:pt>
                <c:pt idx="1">
                  <c:v>7.2620000000000005</c:v>
                </c:pt>
                <c:pt idx="2">
                  <c:v>37.084400000000002</c:v>
                </c:pt>
                <c:pt idx="3">
                  <c:v>12.916</c:v>
                </c:pt>
              </c:numCache>
            </c:numRef>
          </c:val>
          <c:extLst>
            <c:ext xmlns:c16="http://schemas.microsoft.com/office/drawing/2014/chart" uri="{C3380CC4-5D6E-409C-BE32-E72D297353CC}">
              <c16:uniqueId val="{00000001-1076-449F-B766-2920CDC2226A}"/>
            </c:ext>
          </c:extLst>
        </c:ser>
        <c:dLbls>
          <c:showLegendKey val="0"/>
          <c:showVal val="0"/>
          <c:showCatName val="0"/>
          <c:showSerName val="0"/>
          <c:showPercent val="0"/>
          <c:showBubbleSize val="0"/>
        </c:dLbls>
        <c:gapWidth val="219"/>
        <c:overlap val="-27"/>
        <c:axId val="1346841695"/>
        <c:axId val="1346834975"/>
      </c:barChart>
      <c:catAx>
        <c:axId val="134684169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1346834975"/>
        <c:crosses val="autoZero"/>
        <c:auto val="1"/>
        <c:lblAlgn val="ctr"/>
        <c:lblOffset val="100"/>
        <c:noMultiLvlLbl val="0"/>
      </c:catAx>
      <c:valAx>
        <c:axId val="1346834975"/>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solidFill>
                      <a:sysClr val="windowText" lastClr="000000"/>
                    </a:solidFill>
                  </a:rPr>
                  <a:t>HMs</a:t>
                </a:r>
                <a:r>
                  <a:rPr lang="it-IT" baseline="0">
                    <a:solidFill>
                      <a:sysClr val="windowText" lastClr="000000"/>
                    </a:solidFill>
                  </a:rPr>
                  <a:t> concentration (mg/L)</a:t>
                </a:r>
                <a:endParaRPr lang="it-IT">
                  <a:solidFill>
                    <a:sysClr val="windowText" lastClr="000000"/>
                  </a:solidFill>
                </a:endParaRPr>
              </a:p>
            </c:rich>
          </c:tx>
          <c:layout>
            <c:manualLayout>
              <c:xMode val="edge"/>
              <c:yMode val="edge"/>
              <c:x val="7.6293927114532371E-3"/>
              <c:y val="6.751525590551180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1346841695"/>
        <c:crosses val="autoZero"/>
        <c:crossBetween val="between"/>
        <c:majorUnit val="10"/>
      </c:valAx>
      <c:spPr>
        <a:noFill/>
        <a:ln>
          <a:solidFill>
            <a:sysClr val="windowText" lastClr="000000"/>
          </a:solidFill>
        </a:ln>
        <a:effectLst/>
      </c:spPr>
    </c:plotArea>
    <c:legend>
      <c:legendPos val="l"/>
      <c:layout>
        <c:manualLayout>
          <c:xMode val="edge"/>
          <c:yMode val="edge"/>
          <c:x val="0.75147012589850948"/>
          <c:y val="5.3100885826771652E-2"/>
          <c:w val="0.2042924818154537"/>
          <c:h val="0.1674343832020997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legend>
    <c:plotVisOnly val="1"/>
    <c:dispBlanksAs val="gap"/>
    <c:showDLblsOverMax val="0"/>
  </c:chart>
  <c:spPr>
    <a:noFill/>
    <a:ln w="9525" cap="flat" cmpd="sng" algn="ctr">
      <a:no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solidFill>
                  <a:sysClr val="windowText" lastClr="000000"/>
                </a:solidFill>
              </a:rPr>
              <a:t>a)</a:t>
            </a:r>
          </a:p>
        </c:rich>
      </c:tx>
      <c:layout>
        <c:manualLayout>
          <c:xMode val="edge"/>
          <c:yMode val="edge"/>
          <c:x val="0.14993616566180504"/>
          <c:y val="5.05050505050505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4734062080664354"/>
          <c:y val="3.8526008112622287E-2"/>
          <c:w val="0.78486404030685875"/>
          <c:h val="0.77325295275590555"/>
        </c:manualLayout>
      </c:layout>
      <c:scatterChart>
        <c:scatterStyle val="lineMarker"/>
        <c:varyColors val="0"/>
        <c:ser>
          <c:idx val="0"/>
          <c:order val="0"/>
          <c:tx>
            <c:strRef>
              <c:f>'C:\Users\asus\Desktop\CARTELLE\Searches\CHIMICA\ASSEGNO DI RICERCA\Recupero P\ALESSIO\[Dati processati da me.xlsx]Acido citric'!$E$22</c:f>
              <c:strCache>
                <c:ptCount val="1"/>
                <c:pt idx="0">
                  <c:v>P</c:v>
                </c:pt>
              </c:strCache>
            </c:strRef>
          </c:tx>
          <c:spPr>
            <a:ln w="12700" cap="rnd">
              <a:solidFill>
                <a:schemeClr val="accent1"/>
              </a:solidFill>
              <a:prstDash val="sysDash"/>
              <a:round/>
            </a:ln>
            <a:effectLst/>
          </c:spPr>
          <c:marker>
            <c:symbol val="triangle"/>
            <c:size val="5"/>
            <c:spPr>
              <a:solidFill>
                <a:schemeClr val="accent1">
                  <a:lumMod val="40000"/>
                  <a:lumOff val="60000"/>
                </a:schemeClr>
              </a:solidFill>
              <a:ln w="9525">
                <a:solidFill>
                  <a:schemeClr val="accent1"/>
                </a:solidFill>
              </a:ln>
              <a:effectLst/>
            </c:spPr>
          </c:marker>
          <c:errBars>
            <c:errDir val="y"/>
            <c:errBarType val="both"/>
            <c:errValType val="cust"/>
            <c:noEndCap val="0"/>
            <c:plus>
              <c:numRef>
                <c:f>'C:\Users\asus\Desktop\CARTELLE\Searches\CHIMICA\ASSEGNO DI RICERCA\Recupero P\ALESSIO\[Dati processati da me.xlsx]Acido citric'!$L$23:$L$26</c:f>
                <c:numCache>
                  <c:formatCode>General</c:formatCode>
                  <c:ptCount val="4"/>
                  <c:pt idx="0">
                    <c:v>2.0499999999999998</c:v>
                  </c:pt>
                  <c:pt idx="1">
                    <c:v>4</c:v>
                  </c:pt>
                  <c:pt idx="2">
                    <c:v>3</c:v>
                  </c:pt>
                  <c:pt idx="3">
                    <c:v>3.7</c:v>
                  </c:pt>
                </c:numCache>
              </c:numRef>
            </c:plus>
            <c:minus>
              <c:numRef>
                <c:f>'C:\Users\asus\Desktop\CARTELLE\Searches\CHIMICA\ASSEGNO DI RICERCA\Recupero P\ALESSIO\[Dati processati da me.xlsx]Acido citric'!$L$23:$L$26</c:f>
                <c:numCache>
                  <c:formatCode>General</c:formatCode>
                  <c:ptCount val="4"/>
                  <c:pt idx="0">
                    <c:v>2.0499999999999998</c:v>
                  </c:pt>
                  <c:pt idx="1">
                    <c:v>4</c:v>
                  </c:pt>
                  <c:pt idx="2">
                    <c:v>3</c:v>
                  </c:pt>
                  <c:pt idx="3">
                    <c:v>3.7</c:v>
                  </c:pt>
                </c:numCache>
              </c:numRef>
            </c:minus>
            <c:spPr>
              <a:noFill/>
              <a:ln w="12700" cap="flat" cmpd="sng" algn="ctr">
                <a:solidFill>
                  <a:srgbClr val="0070C0"/>
                </a:solidFill>
                <a:round/>
              </a:ln>
              <a:effectLst/>
            </c:spPr>
          </c:errBars>
          <c:xVal>
            <c:numRef>
              <c:f>'C:\Users\asus\Desktop\CARTELLE\Searches\CHIMICA\ASSEGNO DI RICERCA\Recupero P\ALESSIO\[Dati processati da me.xlsx]Acido citric'!$C$23:$C$26</c:f>
              <c:numCache>
                <c:formatCode>General</c:formatCode>
                <c:ptCount val="4"/>
                <c:pt idx="0">
                  <c:v>0</c:v>
                </c:pt>
                <c:pt idx="1">
                  <c:v>0.22</c:v>
                </c:pt>
                <c:pt idx="2">
                  <c:v>0.44</c:v>
                </c:pt>
                <c:pt idx="3">
                  <c:v>0.88</c:v>
                </c:pt>
              </c:numCache>
            </c:numRef>
          </c:xVal>
          <c:yVal>
            <c:numRef>
              <c:f>'C:\Users\asus\Desktop\CARTELLE\Searches\CHIMICA\ASSEGNO DI RICERCA\Recupero P\ALESSIO\[Dati processati da me.xlsx]Acido citric'!$E$23:$E$26</c:f>
              <c:numCache>
                <c:formatCode>General</c:formatCode>
                <c:ptCount val="4"/>
                <c:pt idx="0">
                  <c:v>75.701196924245551</c:v>
                </c:pt>
                <c:pt idx="1">
                  <c:v>78.516216307358192</c:v>
                </c:pt>
                <c:pt idx="2">
                  <c:v>85.211397542869349</c:v>
                </c:pt>
                <c:pt idx="3">
                  <c:v>82.624622974603696</c:v>
                </c:pt>
              </c:numCache>
            </c:numRef>
          </c:yVal>
          <c:smooth val="0"/>
          <c:extLst>
            <c:ext xmlns:c16="http://schemas.microsoft.com/office/drawing/2014/chart" uri="{C3380CC4-5D6E-409C-BE32-E72D297353CC}">
              <c16:uniqueId val="{00000000-34C9-4C2B-99C1-2A4FCFFF6920}"/>
            </c:ext>
          </c:extLst>
        </c:ser>
        <c:ser>
          <c:idx val="1"/>
          <c:order val="1"/>
          <c:tx>
            <c:strRef>
              <c:f>'C:\Users\asus\Desktop\CARTELLE\Searches\CHIMICA\ASSEGNO DI RICERCA\Recupero P\ALESSIO\[Dati processati da me.xlsx]Acido citric'!$F$22</c:f>
              <c:strCache>
                <c:ptCount val="1"/>
                <c:pt idx="0">
                  <c:v>Ni</c:v>
                </c:pt>
              </c:strCache>
            </c:strRef>
          </c:tx>
          <c:spPr>
            <a:ln w="12700" cap="rnd">
              <a:solidFill>
                <a:srgbClr val="00B0F0"/>
              </a:solidFill>
              <a:prstDash val="dash"/>
              <a:round/>
            </a:ln>
            <a:effectLst/>
          </c:spPr>
          <c:marker>
            <c:symbol val="circle"/>
            <c:size val="5"/>
            <c:spPr>
              <a:solidFill>
                <a:srgbClr val="00B0F0"/>
              </a:solidFill>
              <a:ln w="9525">
                <a:solidFill>
                  <a:srgbClr val="00B0F0"/>
                </a:solidFill>
              </a:ln>
              <a:effectLst/>
            </c:spPr>
          </c:marker>
          <c:errBars>
            <c:errDir val="y"/>
            <c:errBarType val="both"/>
            <c:errValType val="cust"/>
            <c:noEndCap val="0"/>
            <c:plus>
              <c:numRef>
                <c:f>'C:\Users\asus\Desktop\CARTELLE\Searches\CHIMICA\ASSEGNO DI RICERCA\Recupero P\ALESSIO\[Dati processati da me.xlsx]Acido citric'!$M$23:$M$26</c:f>
                <c:numCache>
                  <c:formatCode>General</c:formatCode>
                  <c:ptCount val="4"/>
                  <c:pt idx="0">
                    <c:v>3.9</c:v>
                  </c:pt>
                  <c:pt idx="1">
                    <c:v>2</c:v>
                  </c:pt>
                  <c:pt idx="2">
                    <c:v>8</c:v>
                  </c:pt>
                  <c:pt idx="3">
                    <c:v>4.8</c:v>
                  </c:pt>
                </c:numCache>
              </c:numRef>
            </c:plus>
            <c:minus>
              <c:numRef>
                <c:f>'C:\Users\asus\Desktop\CARTELLE\Searches\CHIMICA\ASSEGNO DI RICERCA\Recupero P\ALESSIO\[Dati processati da me.xlsx]Acido citric'!$M$23:$M$26</c:f>
                <c:numCache>
                  <c:formatCode>General</c:formatCode>
                  <c:ptCount val="4"/>
                  <c:pt idx="0">
                    <c:v>3.9</c:v>
                  </c:pt>
                  <c:pt idx="1">
                    <c:v>2</c:v>
                  </c:pt>
                  <c:pt idx="2">
                    <c:v>8</c:v>
                  </c:pt>
                  <c:pt idx="3">
                    <c:v>4.8</c:v>
                  </c:pt>
                </c:numCache>
              </c:numRef>
            </c:minus>
            <c:spPr>
              <a:noFill/>
              <a:ln w="12700" cap="flat" cmpd="sng" algn="ctr">
                <a:solidFill>
                  <a:srgbClr val="00B0F0"/>
                </a:solidFill>
                <a:round/>
              </a:ln>
              <a:effectLst/>
            </c:spPr>
          </c:errBars>
          <c:xVal>
            <c:numRef>
              <c:f>'C:\Users\asus\Desktop\CARTELLE\Searches\CHIMICA\ASSEGNO DI RICERCA\Recupero P\ALESSIO\[Dati processati da me.xlsx]Acido citric'!$C$23:$C$26</c:f>
              <c:numCache>
                <c:formatCode>General</c:formatCode>
                <c:ptCount val="4"/>
                <c:pt idx="0">
                  <c:v>0</c:v>
                </c:pt>
                <c:pt idx="1">
                  <c:v>0.22</c:v>
                </c:pt>
                <c:pt idx="2">
                  <c:v>0.44</c:v>
                </c:pt>
                <c:pt idx="3">
                  <c:v>0.88</c:v>
                </c:pt>
              </c:numCache>
            </c:numRef>
          </c:xVal>
          <c:yVal>
            <c:numRef>
              <c:f>'C:\Users\asus\Desktop\CARTELLE\Searches\CHIMICA\ASSEGNO DI RICERCA\Recupero P\ALESSIO\[Dati processati da me.xlsx]Acido citric'!$F$23:$F$26</c:f>
              <c:numCache>
                <c:formatCode>General</c:formatCode>
                <c:ptCount val="4"/>
                <c:pt idx="0">
                  <c:v>46.9</c:v>
                </c:pt>
                <c:pt idx="1">
                  <c:v>41.732283464566933</c:v>
                </c:pt>
                <c:pt idx="2">
                  <c:v>49.999999999999986</c:v>
                </c:pt>
                <c:pt idx="3">
                  <c:v>70</c:v>
                </c:pt>
              </c:numCache>
            </c:numRef>
          </c:yVal>
          <c:smooth val="0"/>
          <c:extLst>
            <c:ext xmlns:c16="http://schemas.microsoft.com/office/drawing/2014/chart" uri="{C3380CC4-5D6E-409C-BE32-E72D297353CC}">
              <c16:uniqueId val="{00000001-34C9-4C2B-99C1-2A4FCFFF6920}"/>
            </c:ext>
          </c:extLst>
        </c:ser>
        <c:ser>
          <c:idx val="2"/>
          <c:order val="2"/>
          <c:tx>
            <c:strRef>
              <c:f>'C:\Users\asus\Desktop\CARTELLE\Searches\CHIMICA\ASSEGNO DI RICERCA\Recupero P\ALESSIO\[Dati processati da me.xlsx]Acido citric'!$G$22</c:f>
              <c:strCache>
                <c:ptCount val="1"/>
                <c:pt idx="0">
                  <c:v>Pb</c:v>
                </c:pt>
              </c:strCache>
            </c:strRef>
          </c:tx>
          <c:spPr>
            <a:ln w="12700" cap="rnd">
              <a:solidFill>
                <a:sysClr val="windowText" lastClr="000000"/>
              </a:solidFill>
              <a:prstDash val="dash"/>
              <a:round/>
            </a:ln>
            <a:effectLst/>
          </c:spPr>
          <c:marker>
            <c:symbol val="circle"/>
            <c:size val="5"/>
            <c:spPr>
              <a:solidFill>
                <a:schemeClr val="tx1"/>
              </a:solidFill>
              <a:ln w="9525">
                <a:solidFill>
                  <a:sysClr val="windowText" lastClr="000000"/>
                </a:solidFill>
              </a:ln>
              <a:effectLst/>
            </c:spPr>
          </c:marker>
          <c:errBars>
            <c:errDir val="y"/>
            <c:errBarType val="both"/>
            <c:errValType val="cust"/>
            <c:noEndCap val="0"/>
            <c:plus>
              <c:numRef>
                <c:f>'C:\Users\asus\Desktop\CARTELLE\Searches\CHIMICA\ASSEGNO DI RICERCA\Recupero P\ALESSIO\[Dati processati da me.xlsx]Acido citric'!$N$23:$N$26</c:f>
                <c:numCache>
                  <c:formatCode>General</c:formatCode>
                  <c:ptCount val="4"/>
                  <c:pt idx="0">
                    <c:v>5</c:v>
                  </c:pt>
                  <c:pt idx="1">
                    <c:v>4</c:v>
                  </c:pt>
                  <c:pt idx="2">
                    <c:v>7</c:v>
                  </c:pt>
                  <c:pt idx="3">
                    <c:v>5.7</c:v>
                  </c:pt>
                </c:numCache>
              </c:numRef>
            </c:plus>
            <c:minus>
              <c:numRef>
                <c:f>'C:\Users\asus\Desktop\CARTELLE\Searches\CHIMICA\ASSEGNO DI RICERCA\Recupero P\ALESSIO\[Dati processati da me.xlsx]Acido citric'!$N$23:$N$26</c:f>
                <c:numCache>
                  <c:formatCode>General</c:formatCode>
                  <c:ptCount val="4"/>
                  <c:pt idx="0">
                    <c:v>5</c:v>
                  </c:pt>
                  <c:pt idx="1">
                    <c:v>4</c:v>
                  </c:pt>
                  <c:pt idx="2">
                    <c:v>7</c:v>
                  </c:pt>
                  <c:pt idx="3">
                    <c:v>5.7</c:v>
                  </c:pt>
                </c:numCache>
              </c:numRef>
            </c:minus>
            <c:spPr>
              <a:noFill/>
              <a:ln w="12700" cap="flat" cmpd="sng" algn="ctr">
                <a:solidFill>
                  <a:sysClr val="windowText" lastClr="000000"/>
                </a:solidFill>
                <a:round/>
              </a:ln>
              <a:effectLst/>
            </c:spPr>
          </c:errBars>
          <c:xVal>
            <c:numRef>
              <c:f>'C:\Users\asus\Desktop\CARTELLE\Searches\CHIMICA\ASSEGNO DI RICERCA\Recupero P\ALESSIO\[Dati processati da me.xlsx]Acido citric'!$C$23:$C$26</c:f>
              <c:numCache>
                <c:formatCode>General</c:formatCode>
                <c:ptCount val="4"/>
                <c:pt idx="0">
                  <c:v>0</c:v>
                </c:pt>
                <c:pt idx="1">
                  <c:v>0.22</c:v>
                </c:pt>
                <c:pt idx="2">
                  <c:v>0.44</c:v>
                </c:pt>
                <c:pt idx="3">
                  <c:v>0.88</c:v>
                </c:pt>
              </c:numCache>
            </c:numRef>
          </c:xVal>
          <c:yVal>
            <c:numRef>
              <c:f>'C:\Users\asus\Desktop\CARTELLE\Searches\CHIMICA\ASSEGNO DI RICERCA\Recupero P\ALESSIO\[Dati processati da me.xlsx]Acido citric'!$G$23:$G$26</c:f>
              <c:numCache>
                <c:formatCode>General</c:formatCode>
                <c:ptCount val="4"/>
                <c:pt idx="0">
                  <c:v>26.056338028169012</c:v>
                </c:pt>
                <c:pt idx="1">
                  <c:v>28</c:v>
                </c:pt>
                <c:pt idx="2">
                  <c:v>29.718309859154925</c:v>
                </c:pt>
                <c:pt idx="3">
                  <c:v>44</c:v>
                </c:pt>
              </c:numCache>
            </c:numRef>
          </c:yVal>
          <c:smooth val="0"/>
          <c:extLst>
            <c:ext xmlns:c16="http://schemas.microsoft.com/office/drawing/2014/chart" uri="{C3380CC4-5D6E-409C-BE32-E72D297353CC}">
              <c16:uniqueId val="{00000002-34C9-4C2B-99C1-2A4FCFFF6920}"/>
            </c:ext>
          </c:extLst>
        </c:ser>
        <c:ser>
          <c:idx val="3"/>
          <c:order val="3"/>
          <c:tx>
            <c:strRef>
              <c:f>'C:\Users\asus\Desktop\CARTELLE\Searches\CHIMICA\ASSEGNO DI RICERCA\Recupero P\ALESSIO\[Dati processati da me.xlsx]Acido citric'!$H$22</c:f>
              <c:strCache>
                <c:ptCount val="1"/>
                <c:pt idx="0">
                  <c:v>Cd</c:v>
                </c:pt>
              </c:strCache>
            </c:strRef>
          </c:tx>
          <c:spPr>
            <a:ln w="12700" cap="rnd">
              <a:solidFill>
                <a:schemeClr val="bg1">
                  <a:lumMod val="65000"/>
                </a:schemeClr>
              </a:solidFill>
              <a:prstDash val="dash"/>
              <a:round/>
            </a:ln>
            <a:effectLst/>
          </c:spPr>
          <c:marker>
            <c:symbol val="circle"/>
            <c:size val="5"/>
            <c:spPr>
              <a:solidFill>
                <a:schemeClr val="bg1">
                  <a:lumMod val="65000"/>
                </a:schemeClr>
              </a:solidFill>
              <a:ln w="9525">
                <a:solidFill>
                  <a:schemeClr val="bg1">
                    <a:lumMod val="65000"/>
                  </a:schemeClr>
                </a:solidFill>
              </a:ln>
              <a:effectLst/>
            </c:spPr>
          </c:marker>
          <c:errBars>
            <c:errDir val="y"/>
            <c:errBarType val="both"/>
            <c:errValType val="cust"/>
            <c:noEndCap val="0"/>
            <c:plus>
              <c:numRef>
                <c:f>'C:\Users\asus\Desktop\CARTELLE\Searches\CHIMICA\ASSEGNO DI RICERCA\Recupero P\ALESSIO\[Dati processati da me.xlsx]Acido citric'!$O$23:$O$26</c:f>
                <c:numCache>
                  <c:formatCode>General</c:formatCode>
                  <c:ptCount val="4"/>
                  <c:pt idx="0">
                    <c:v>0</c:v>
                  </c:pt>
                  <c:pt idx="1">
                    <c:v>2</c:v>
                  </c:pt>
                  <c:pt idx="2">
                    <c:v>2.7</c:v>
                  </c:pt>
                  <c:pt idx="3">
                    <c:v>2.2000000000000002</c:v>
                  </c:pt>
                </c:numCache>
              </c:numRef>
            </c:plus>
            <c:minus>
              <c:numRef>
                <c:f>'C:\Users\asus\Desktop\CARTELLE\Searches\CHIMICA\ASSEGNO DI RICERCA\Recupero P\ALESSIO\[Dati processati da me.xlsx]Acido citric'!$O$23:$O$26</c:f>
                <c:numCache>
                  <c:formatCode>General</c:formatCode>
                  <c:ptCount val="4"/>
                  <c:pt idx="0">
                    <c:v>0</c:v>
                  </c:pt>
                  <c:pt idx="1">
                    <c:v>2</c:v>
                  </c:pt>
                  <c:pt idx="2">
                    <c:v>2.7</c:v>
                  </c:pt>
                  <c:pt idx="3">
                    <c:v>2.2000000000000002</c:v>
                  </c:pt>
                </c:numCache>
              </c:numRef>
            </c:minus>
            <c:spPr>
              <a:noFill/>
              <a:ln w="12700" cap="flat" cmpd="sng" algn="ctr">
                <a:solidFill>
                  <a:schemeClr val="bg1">
                    <a:lumMod val="65000"/>
                  </a:schemeClr>
                </a:solidFill>
                <a:round/>
              </a:ln>
              <a:effectLst/>
            </c:spPr>
          </c:errBars>
          <c:xVal>
            <c:numRef>
              <c:f>'C:\Users\asus\Desktop\CARTELLE\Searches\CHIMICA\ASSEGNO DI RICERCA\Recupero P\ALESSIO\[Dati processati da me.xlsx]Acido citric'!$C$23:$C$26</c:f>
              <c:numCache>
                <c:formatCode>General</c:formatCode>
                <c:ptCount val="4"/>
                <c:pt idx="0">
                  <c:v>0</c:v>
                </c:pt>
                <c:pt idx="1">
                  <c:v>0.22</c:v>
                </c:pt>
                <c:pt idx="2">
                  <c:v>0.44</c:v>
                </c:pt>
                <c:pt idx="3">
                  <c:v>0.88</c:v>
                </c:pt>
              </c:numCache>
            </c:numRef>
          </c:xVal>
          <c:yVal>
            <c:numRef>
              <c:f>'C:\Users\asus\Desktop\CARTELLE\Searches\CHIMICA\ASSEGNO DI RICERCA\Recupero P\ALESSIO\[Dati processati da me.xlsx]Acido citric'!$H$23:$H$26</c:f>
              <c:numCache>
                <c:formatCode>General</c:formatCode>
                <c:ptCount val="4"/>
                <c:pt idx="0">
                  <c:v>0</c:v>
                </c:pt>
                <c:pt idx="1">
                  <c:v>5</c:v>
                </c:pt>
                <c:pt idx="2">
                  <c:v>10.309278350515463</c:v>
                </c:pt>
                <c:pt idx="3">
                  <c:v>14.432989690721651</c:v>
                </c:pt>
              </c:numCache>
            </c:numRef>
          </c:yVal>
          <c:smooth val="0"/>
          <c:extLst>
            <c:ext xmlns:c16="http://schemas.microsoft.com/office/drawing/2014/chart" uri="{C3380CC4-5D6E-409C-BE32-E72D297353CC}">
              <c16:uniqueId val="{00000003-34C9-4C2B-99C1-2A4FCFFF6920}"/>
            </c:ext>
          </c:extLst>
        </c:ser>
        <c:ser>
          <c:idx val="4"/>
          <c:order val="4"/>
          <c:tx>
            <c:strRef>
              <c:f>'C:\Users\asus\Desktop\CARTELLE\Searches\CHIMICA\ASSEGNO DI RICERCA\Recupero P\ALESSIO\[Dati processati da me.xlsx]Acido citric'!$I$22</c:f>
              <c:strCache>
                <c:ptCount val="1"/>
                <c:pt idx="0">
                  <c:v>Zn</c:v>
                </c:pt>
              </c:strCache>
            </c:strRef>
          </c:tx>
          <c:spPr>
            <a:ln w="12700" cap="rnd">
              <a:solidFill>
                <a:srgbClr val="00B050"/>
              </a:solidFill>
              <a:prstDash val="dash"/>
              <a:round/>
            </a:ln>
            <a:effectLst/>
          </c:spPr>
          <c:marker>
            <c:symbol val="circle"/>
            <c:size val="5"/>
            <c:spPr>
              <a:solidFill>
                <a:srgbClr val="00B050"/>
              </a:solidFill>
              <a:ln w="9525">
                <a:solidFill>
                  <a:srgbClr val="00B050"/>
                </a:solidFill>
              </a:ln>
              <a:effectLst/>
            </c:spPr>
          </c:marker>
          <c:errBars>
            <c:errDir val="y"/>
            <c:errBarType val="both"/>
            <c:errValType val="cust"/>
            <c:noEndCap val="0"/>
            <c:plus>
              <c:numRef>
                <c:f>'C:\Users\asus\Desktop\CARTELLE\Searches\CHIMICA\ASSEGNO DI RICERCA\Recupero P\ALESSIO\[Dati processati da me.xlsx]Acido citric'!$P$23:$P$26</c:f>
                <c:numCache>
                  <c:formatCode>General</c:formatCode>
                  <c:ptCount val="4"/>
                  <c:pt idx="0">
                    <c:v>8</c:v>
                  </c:pt>
                  <c:pt idx="1">
                    <c:v>3.8</c:v>
                  </c:pt>
                  <c:pt idx="2">
                    <c:v>3.9</c:v>
                  </c:pt>
                  <c:pt idx="3">
                    <c:v>5.6</c:v>
                  </c:pt>
                </c:numCache>
              </c:numRef>
            </c:plus>
            <c:minus>
              <c:numRef>
                <c:f>'C:\Users\asus\Desktop\CARTELLE\Searches\CHIMICA\ASSEGNO DI RICERCA\Recupero P\ALESSIO\[Dati processati da me.xlsx]Acido citric'!$P$23:$P$26</c:f>
                <c:numCache>
                  <c:formatCode>General</c:formatCode>
                  <c:ptCount val="4"/>
                  <c:pt idx="0">
                    <c:v>8</c:v>
                  </c:pt>
                  <c:pt idx="1">
                    <c:v>3.8</c:v>
                  </c:pt>
                  <c:pt idx="2">
                    <c:v>3.9</c:v>
                  </c:pt>
                  <c:pt idx="3">
                    <c:v>5.6</c:v>
                  </c:pt>
                </c:numCache>
              </c:numRef>
            </c:minus>
            <c:spPr>
              <a:noFill/>
              <a:ln w="12700" cap="flat" cmpd="sng" algn="ctr">
                <a:solidFill>
                  <a:srgbClr val="00B050"/>
                </a:solidFill>
                <a:round/>
              </a:ln>
              <a:effectLst/>
            </c:spPr>
          </c:errBars>
          <c:xVal>
            <c:numRef>
              <c:f>'C:\Users\asus\Desktop\CARTELLE\Searches\CHIMICA\ASSEGNO DI RICERCA\Recupero P\ALESSIO\[Dati processati da me.xlsx]Acido citric'!$C$23:$C$26</c:f>
              <c:numCache>
                <c:formatCode>General</c:formatCode>
                <c:ptCount val="4"/>
                <c:pt idx="0">
                  <c:v>0</c:v>
                </c:pt>
                <c:pt idx="1">
                  <c:v>0.22</c:v>
                </c:pt>
                <c:pt idx="2">
                  <c:v>0.44</c:v>
                </c:pt>
                <c:pt idx="3">
                  <c:v>0.88</c:v>
                </c:pt>
              </c:numCache>
            </c:numRef>
          </c:xVal>
          <c:yVal>
            <c:numRef>
              <c:f>'C:\Users\asus\Desktop\CARTELLE\Searches\CHIMICA\ASSEGNO DI RICERCA\Recupero P\ALESSIO\[Dati processati da me.xlsx]Acido citric'!$I$23:$I$26</c:f>
              <c:numCache>
                <c:formatCode>General</c:formatCode>
                <c:ptCount val="4"/>
                <c:pt idx="0">
                  <c:v>46.424708568681652</c:v>
                </c:pt>
                <c:pt idx="1">
                  <c:v>49</c:v>
                </c:pt>
                <c:pt idx="2">
                  <c:v>51.911686438786553</c:v>
                </c:pt>
                <c:pt idx="3">
                  <c:v>57.747180112280475</c:v>
                </c:pt>
              </c:numCache>
            </c:numRef>
          </c:yVal>
          <c:smooth val="0"/>
          <c:extLst>
            <c:ext xmlns:c16="http://schemas.microsoft.com/office/drawing/2014/chart" uri="{C3380CC4-5D6E-409C-BE32-E72D297353CC}">
              <c16:uniqueId val="{00000004-34C9-4C2B-99C1-2A4FCFFF6920}"/>
            </c:ext>
          </c:extLst>
        </c:ser>
        <c:ser>
          <c:idx val="5"/>
          <c:order val="5"/>
          <c:tx>
            <c:strRef>
              <c:f>'C:\Users\asus\Desktop\CARTELLE\Searches\CHIMICA\ASSEGNO DI RICERCA\Recupero P\ALESSIO\[Dati processati da me.xlsx]Acido citric'!$J$22</c:f>
              <c:strCache>
                <c:ptCount val="1"/>
                <c:pt idx="0">
                  <c:v>Cu</c:v>
                </c:pt>
              </c:strCache>
            </c:strRef>
          </c:tx>
          <c:spPr>
            <a:ln w="12700" cap="rnd">
              <a:solidFill>
                <a:srgbClr val="FF0000"/>
              </a:solidFill>
              <a:prstDash val="dash"/>
              <a:round/>
            </a:ln>
            <a:effectLst/>
          </c:spPr>
          <c:marker>
            <c:symbol val="circle"/>
            <c:size val="5"/>
            <c:spPr>
              <a:solidFill>
                <a:srgbClr val="FF0000"/>
              </a:solidFill>
              <a:ln w="9525">
                <a:solidFill>
                  <a:srgbClr val="FF0000"/>
                </a:solidFill>
              </a:ln>
              <a:effectLst/>
            </c:spPr>
          </c:marker>
          <c:errBars>
            <c:errDir val="y"/>
            <c:errBarType val="both"/>
            <c:errValType val="cust"/>
            <c:noEndCap val="0"/>
            <c:plus>
              <c:numRef>
                <c:f>'C:\Users\asus\Desktop\CARTELLE\Searches\CHIMICA\ASSEGNO DI RICERCA\Recupero P\ALESSIO\[Dati processati da me.xlsx]Acido citric'!$Q$23:$Q$26</c:f>
                <c:numCache>
                  <c:formatCode>General</c:formatCode>
                  <c:ptCount val="4"/>
                  <c:pt idx="0">
                    <c:v>4.5</c:v>
                  </c:pt>
                  <c:pt idx="1">
                    <c:v>1</c:v>
                  </c:pt>
                  <c:pt idx="2">
                    <c:v>1.1000000000000001</c:v>
                  </c:pt>
                  <c:pt idx="3">
                    <c:v>3</c:v>
                  </c:pt>
                </c:numCache>
              </c:numRef>
            </c:plus>
            <c:minus>
              <c:numRef>
                <c:f>'C:\Users\asus\Desktop\CARTELLE\Searches\CHIMICA\ASSEGNO DI RICERCA\Recupero P\ALESSIO\[Dati processati da me.xlsx]Acido citric'!$Q$23:$Q$26</c:f>
                <c:numCache>
                  <c:formatCode>General</c:formatCode>
                  <c:ptCount val="4"/>
                  <c:pt idx="0">
                    <c:v>4.5</c:v>
                  </c:pt>
                  <c:pt idx="1">
                    <c:v>1</c:v>
                  </c:pt>
                  <c:pt idx="2">
                    <c:v>1.1000000000000001</c:v>
                  </c:pt>
                  <c:pt idx="3">
                    <c:v>3</c:v>
                  </c:pt>
                </c:numCache>
              </c:numRef>
            </c:minus>
            <c:spPr>
              <a:noFill/>
              <a:ln w="12700" cap="flat" cmpd="sng" algn="ctr">
                <a:solidFill>
                  <a:srgbClr val="FF0000"/>
                </a:solidFill>
                <a:round/>
              </a:ln>
              <a:effectLst/>
            </c:spPr>
          </c:errBars>
          <c:xVal>
            <c:numRef>
              <c:f>'C:\Users\asus\Desktop\CARTELLE\Searches\CHIMICA\ASSEGNO DI RICERCA\Recupero P\ALESSIO\[Dati processati da me.xlsx]Acido citric'!$C$23:$C$26</c:f>
              <c:numCache>
                <c:formatCode>General</c:formatCode>
                <c:ptCount val="4"/>
                <c:pt idx="0">
                  <c:v>0</c:v>
                </c:pt>
                <c:pt idx="1">
                  <c:v>0.22</c:v>
                </c:pt>
                <c:pt idx="2">
                  <c:v>0.44</c:v>
                </c:pt>
                <c:pt idx="3">
                  <c:v>0.88</c:v>
                </c:pt>
              </c:numCache>
            </c:numRef>
          </c:xVal>
          <c:yVal>
            <c:numRef>
              <c:f>'C:\Users\asus\Desktop\CARTELLE\Searches\CHIMICA\ASSEGNO DI RICERCA\Recupero P\ALESSIO\[Dati processati da me.xlsx]Acido citric'!$J$23:$J$26</c:f>
              <c:numCache>
                <c:formatCode>General</c:formatCode>
                <c:ptCount val="4"/>
                <c:pt idx="0">
                  <c:v>27.499370435658527</c:v>
                </c:pt>
                <c:pt idx="1">
                  <c:v>34</c:v>
                </c:pt>
                <c:pt idx="2">
                  <c:v>55</c:v>
                </c:pt>
                <c:pt idx="3">
                  <c:v>91.866028708133967</c:v>
                </c:pt>
              </c:numCache>
            </c:numRef>
          </c:yVal>
          <c:smooth val="0"/>
          <c:extLst>
            <c:ext xmlns:c16="http://schemas.microsoft.com/office/drawing/2014/chart" uri="{C3380CC4-5D6E-409C-BE32-E72D297353CC}">
              <c16:uniqueId val="{00000005-34C9-4C2B-99C1-2A4FCFFF6920}"/>
            </c:ext>
          </c:extLst>
        </c:ser>
        <c:ser>
          <c:idx val="6"/>
          <c:order val="6"/>
          <c:tx>
            <c:strRef>
              <c:f>'C:\Users\asus\Desktop\CARTELLE\Searches\CHIMICA\ASSEGNO DI RICERCA\Recupero P\ALESSIO\[Dati processati da me.xlsx]Acido citric'!$K$22</c:f>
              <c:strCache>
                <c:ptCount val="1"/>
                <c:pt idx="0">
                  <c:v>Cr</c:v>
                </c:pt>
              </c:strCache>
            </c:strRef>
          </c:tx>
          <c:spPr>
            <a:ln w="12700" cap="rnd">
              <a:solidFill>
                <a:srgbClr val="FFC000"/>
              </a:solidFill>
              <a:prstDash val="dash"/>
              <a:round/>
            </a:ln>
            <a:effectLst/>
          </c:spPr>
          <c:marker>
            <c:symbol val="circle"/>
            <c:size val="5"/>
            <c:spPr>
              <a:solidFill>
                <a:srgbClr val="FFFF00"/>
              </a:solidFill>
              <a:ln w="9525">
                <a:solidFill>
                  <a:srgbClr val="FFC000"/>
                </a:solidFill>
              </a:ln>
              <a:effectLst/>
            </c:spPr>
          </c:marker>
          <c:errBars>
            <c:errDir val="y"/>
            <c:errBarType val="both"/>
            <c:errValType val="cust"/>
            <c:noEndCap val="0"/>
            <c:plus>
              <c:numRef>
                <c:f>'C:\Users\asus\Desktop\CARTELLE\Searches\CHIMICA\ASSEGNO DI RICERCA\Recupero P\ALESSIO\[Dati processati da me.xlsx]Acido citric'!$R$23:$R$26</c:f>
                <c:numCache>
                  <c:formatCode>General</c:formatCode>
                  <c:ptCount val="4"/>
                  <c:pt idx="0">
                    <c:v>0</c:v>
                  </c:pt>
                  <c:pt idx="1">
                    <c:v>0</c:v>
                  </c:pt>
                  <c:pt idx="2">
                    <c:v>0</c:v>
                  </c:pt>
                  <c:pt idx="3">
                    <c:v>3.7</c:v>
                  </c:pt>
                </c:numCache>
              </c:numRef>
            </c:plus>
            <c:minus>
              <c:numRef>
                <c:f>'C:\Users\asus\Desktop\CARTELLE\Searches\CHIMICA\ASSEGNO DI RICERCA\Recupero P\ALESSIO\[Dati processati da me.xlsx]Acido citric'!$R$23:$R$26</c:f>
                <c:numCache>
                  <c:formatCode>General</c:formatCode>
                  <c:ptCount val="4"/>
                  <c:pt idx="0">
                    <c:v>0</c:v>
                  </c:pt>
                  <c:pt idx="1">
                    <c:v>0</c:v>
                  </c:pt>
                  <c:pt idx="2">
                    <c:v>0</c:v>
                  </c:pt>
                  <c:pt idx="3">
                    <c:v>3.7</c:v>
                  </c:pt>
                </c:numCache>
              </c:numRef>
            </c:minus>
            <c:spPr>
              <a:noFill/>
              <a:ln w="12700" cap="flat" cmpd="sng" algn="ctr">
                <a:solidFill>
                  <a:srgbClr val="FFC000"/>
                </a:solidFill>
                <a:round/>
              </a:ln>
              <a:effectLst/>
            </c:spPr>
          </c:errBars>
          <c:xVal>
            <c:numRef>
              <c:f>'C:\Users\asus\Desktop\CARTELLE\Searches\CHIMICA\ASSEGNO DI RICERCA\Recupero P\ALESSIO\[Dati processati da me.xlsx]Acido citric'!$C$23:$C$26</c:f>
              <c:numCache>
                <c:formatCode>General</c:formatCode>
                <c:ptCount val="4"/>
                <c:pt idx="0">
                  <c:v>0</c:v>
                </c:pt>
                <c:pt idx="1">
                  <c:v>0.22</c:v>
                </c:pt>
                <c:pt idx="2">
                  <c:v>0.44</c:v>
                </c:pt>
                <c:pt idx="3">
                  <c:v>0.88</c:v>
                </c:pt>
              </c:numCache>
            </c:numRef>
          </c:xVal>
          <c:yVal>
            <c:numRef>
              <c:f>'C:\Users\asus\Desktop\CARTELLE\Searches\CHIMICA\ASSEGNO DI RICERCA\Recupero P\ALESSIO\[Dati processati da me.xlsx]Acido citric'!$K$23:$K$26</c:f>
              <c:numCache>
                <c:formatCode>General</c:formatCode>
                <c:ptCount val="4"/>
                <c:pt idx="0">
                  <c:v>0</c:v>
                </c:pt>
                <c:pt idx="1">
                  <c:v>0</c:v>
                </c:pt>
                <c:pt idx="2">
                  <c:v>1</c:v>
                </c:pt>
                <c:pt idx="3">
                  <c:v>28.511181729084377</c:v>
                </c:pt>
              </c:numCache>
            </c:numRef>
          </c:yVal>
          <c:smooth val="0"/>
          <c:extLst>
            <c:ext xmlns:c16="http://schemas.microsoft.com/office/drawing/2014/chart" uri="{C3380CC4-5D6E-409C-BE32-E72D297353CC}">
              <c16:uniqueId val="{00000006-34C9-4C2B-99C1-2A4FCFFF6920}"/>
            </c:ext>
          </c:extLst>
        </c:ser>
        <c:dLbls>
          <c:showLegendKey val="0"/>
          <c:showVal val="0"/>
          <c:showCatName val="0"/>
          <c:showSerName val="0"/>
          <c:showPercent val="0"/>
          <c:showBubbleSize val="0"/>
        </c:dLbls>
        <c:axId val="1658426639"/>
        <c:axId val="1658414159"/>
      </c:scatterChart>
      <c:valAx>
        <c:axId val="1658426639"/>
        <c:scaling>
          <c:orientation val="minMax"/>
          <c:max val="1.1900000000000002"/>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solidFill>
                      <a:sysClr val="windowText" lastClr="000000"/>
                    </a:solidFill>
                  </a:rPr>
                  <a:t>Citric acid concentration (g/L)</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1658414159"/>
        <c:crosses val="autoZero"/>
        <c:crossBetween val="midCat"/>
        <c:majorUnit val="0.2"/>
      </c:valAx>
      <c:valAx>
        <c:axId val="1658414159"/>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solidFill>
                      <a:sysClr val="windowText" lastClr="000000"/>
                    </a:solidFill>
                  </a:rPr>
                  <a:t>Extraction</a:t>
                </a:r>
                <a:r>
                  <a:rPr lang="it-IT" baseline="0">
                    <a:solidFill>
                      <a:sysClr val="windowText" lastClr="000000"/>
                    </a:solidFill>
                  </a:rPr>
                  <a:t> (%)</a:t>
                </a:r>
                <a:endParaRPr lang="it-IT">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1658426639"/>
        <c:crosses val="autoZero"/>
        <c:crossBetween val="midCat"/>
        <c:majorUnit val="20"/>
      </c:valAx>
      <c:spPr>
        <a:noFill/>
        <a:ln>
          <a:solidFill>
            <a:sysClr val="windowText" lastClr="000000"/>
          </a:solidFill>
        </a:ln>
        <a:effectLst/>
      </c:spPr>
    </c:plotArea>
    <c:legend>
      <c:legendPos val="r"/>
      <c:layout>
        <c:manualLayout>
          <c:xMode val="edge"/>
          <c:yMode val="edge"/>
          <c:x val="0.7412550298784808"/>
          <c:y val="0.28792501789549035"/>
          <c:w val="0.19520139566594924"/>
          <c:h val="0.497984768949335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it-IT">
                <a:solidFill>
                  <a:sysClr val="windowText" lastClr="000000"/>
                </a:solidFill>
              </a:rPr>
              <a:t>b)</a:t>
            </a:r>
          </a:p>
        </c:rich>
      </c:tx>
      <c:layout>
        <c:manualLayout>
          <c:xMode val="edge"/>
          <c:yMode val="edge"/>
          <c:x val="0.22449273323274516"/>
          <c:y val="7.40743422958417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it-IT"/>
        </a:p>
      </c:txPr>
    </c:title>
    <c:autoTitleDeleted val="0"/>
    <c:plotArea>
      <c:layout>
        <c:manualLayout>
          <c:layoutTarget val="inner"/>
          <c:xMode val="edge"/>
          <c:yMode val="edge"/>
          <c:x val="0.21659543019229804"/>
          <c:y val="4.6712962962962977E-2"/>
          <c:w val="0.75284905468147345"/>
          <c:h val="0.70114793628992611"/>
        </c:manualLayout>
      </c:layout>
      <c:barChart>
        <c:barDir val="col"/>
        <c:grouping val="clustered"/>
        <c:varyColors val="0"/>
        <c:ser>
          <c:idx val="0"/>
          <c:order val="0"/>
          <c:spPr>
            <a:solidFill>
              <a:srgbClr val="FF0000"/>
            </a:solidFill>
            <a:ln>
              <a:solidFill>
                <a:sysClr val="windowText" lastClr="000000"/>
              </a:solidFill>
            </a:ln>
            <a:effectLst/>
          </c:spPr>
          <c:invertIfNegative val="0"/>
          <c:cat>
            <c:strRef>
              <c:f>leaching!$L$3:$O$3</c:f>
              <c:strCache>
                <c:ptCount val="4"/>
                <c:pt idx="0">
                  <c:v>Ni</c:v>
                </c:pt>
                <c:pt idx="1">
                  <c:v>Pb</c:v>
                </c:pt>
                <c:pt idx="2">
                  <c:v>Zn</c:v>
                </c:pt>
                <c:pt idx="3">
                  <c:v>Cu</c:v>
                </c:pt>
              </c:strCache>
            </c:strRef>
          </c:cat>
          <c:val>
            <c:numRef>
              <c:f>leaching!$L$8:$O$8</c:f>
              <c:numCache>
                <c:formatCode>General</c:formatCode>
                <c:ptCount val="4"/>
                <c:pt idx="0">
                  <c:v>4</c:v>
                </c:pt>
                <c:pt idx="1">
                  <c:v>5.6</c:v>
                </c:pt>
                <c:pt idx="2">
                  <c:v>16.2</c:v>
                </c:pt>
                <c:pt idx="3">
                  <c:v>4.0999999999999996</c:v>
                </c:pt>
              </c:numCache>
            </c:numRef>
          </c:val>
          <c:extLst>
            <c:ext xmlns:c16="http://schemas.microsoft.com/office/drawing/2014/chart" uri="{C3380CC4-5D6E-409C-BE32-E72D297353CC}">
              <c16:uniqueId val="{00000000-BCEE-443D-9E55-7A47AB8BF4D1}"/>
            </c:ext>
          </c:extLst>
        </c:ser>
        <c:dLbls>
          <c:showLegendKey val="0"/>
          <c:showVal val="0"/>
          <c:showCatName val="0"/>
          <c:showSerName val="0"/>
          <c:showPercent val="0"/>
          <c:showBubbleSize val="0"/>
        </c:dLbls>
        <c:gapWidth val="219"/>
        <c:overlap val="-27"/>
        <c:axId val="1346841695"/>
        <c:axId val="1346834975"/>
      </c:barChart>
      <c:catAx>
        <c:axId val="134684169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1346834975"/>
        <c:crosses val="autoZero"/>
        <c:auto val="1"/>
        <c:lblAlgn val="ctr"/>
        <c:lblOffset val="100"/>
        <c:noMultiLvlLbl val="0"/>
      </c:catAx>
      <c:valAx>
        <c:axId val="1346834975"/>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solidFill>
                      <a:sysClr val="windowText" lastClr="000000"/>
                    </a:solidFill>
                  </a:rPr>
                  <a:t>HMs</a:t>
                </a:r>
                <a:r>
                  <a:rPr lang="it-IT" baseline="0">
                    <a:solidFill>
                      <a:sysClr val="windowText" lastClr="000000"/>
                    </a:solidFill>
                  </a:rPr>
                  <a:t> conc. (mg/L)</a:t>
                </a:r>
                <a:endParaRPr lang="it-IT">
                  <a:solidFill>
                    <a:sysClr val="windowText" lastClr="000000"/>
                  </a:solidFill>
                </a:endParaRPr>
              </a:p>
            </c:rich>
          </c:tx>
          <c:layout>
            <c:manualLayout>
              <c:xMode val="edge"/>
              <c:yMode val="edge"/>
              <c:x val="4.4550105239596086E-2"/>
              <c:y val="3.392538023926394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1346841695"/>
        <c:crosses val="autoZero"/>
        <c:crossBetween val="between"/>
        <c:majorUnit val="5"/>
      </c:valAx>
      <c:spPr>
        <a:noFill/>
        <a:ln>
          <a:solidFill>
            <a:sysClr val="windowText" lastClr="000000"/>
          </a:solidFill>
        </a:ln>
        <a:effectLst/>
      </c:spPr>
    </c:plotArea>
    <c:plotVisOnly val="1"/>
    <c:dispBlanksAs val="gap"/>
    <c:showDLblsOverMax val="0"/>
  </c:chart>
  <c:spPr>
    <a:noFill/>
    <a:ln w="9525" cap="flat" cmpd="sng" algn="ctr">
      <a:noFill/>
      <a:round/>
    </a:ln>
    <a:effectLst/>
  </c:spPr>
  <c:txPr>
    <a:bodyPr/>
    <a:lstStyle/>
    <a:p>
      <a:pPr>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solidFill>
                  <a:sysClr val="windowText" lastClr="000000"/>
                </a:solidFill>
              </a:rPr>
              <a:t>a)</a:t>
            </a:r>
          </a:p>
        </c:rich>
      </c:tx>
      <c:layout>
        <c:manualLayout>
          <c:xMode val="edge"/>
          <c:yMode val="edge"/>
          <c:x val="0.21142630097002071"/>
          <c:y val="0.1150306748466257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20005883544032976"/>
          <c:y val="6.5706109652960046E-2"/>
          <c:w val="0.75179543605084309"/>
          <c:h val="0.64489176520159064"/>
        </c:manualLayout>
      </c:layout>
      <c:scatterChart>
        <c:scatterStyle val="lineMarker"/>
        <c:varyColors val="0"/>
        <c:ser>
          <c:idx val="0"/>
          <c:order val="0"/>
          <c:tx>
            <c:strRef>
              <c:f>Precipitazione!$E$4</c:f>
              <c:strCache>
                <c:ptCount val="1"/>
                <c:pt idx="0">
                  <c:v>P precipitation (%)</c:v>
                </c:pt>
              </c:strCache>
            </c:strRef>
          </c:tx>
          <c:spPr>
            <a:ln w="12700" cap="rnd">
              <a:solidFill>
                <a:srgbClr val="0070C0"/>
              </a:solidFill>
              <a:prstDash val="dash"/>
              <a:round/>
            </a:ln>
            <a:effectLst/>
          </c:spPr>
          <c:marker>
            <c:symbol val="circle"/>
            <c:size val="5"/>
            <c:spPr>
              <a:solidFill>
                <a:srgbClr val="00B0F0"/>
              </a:solidFill>
              <a:ln w="9525">
                <a:solidFill>
                  <a:srgbClr val="0070C0"/>
                </a:solidFill>
              </a:ln>
              <a:effectLst/>
            </c:spPr>
          </c:marker>
          <c:errBars>
            <c:errDir val="y"/>
            <c:errBarType val="both"/>
            <c:errValType val="cust"/>
            <c:noEndCap val="0"/>
            <c:plus>
              <c:numRef>
                <c:f>Precipitazione!$F$5:$F$11</c:f>
                <c:numCache>
                  <c:formatCode>General</c:formatCode>
                  <c:ptCount val="7"/>
                  <c:pt idx="0">
                    <c:v>1</c:v>
                  </c:pt>
                  <c:pt idx="1">
                    <c:v>0.4</c:v>
                  </c:pt>
                  <c:pt idx="2">
                    <c:v>0.3</c:v>
                  </c:pt>
                  <c:pt idx="3">
                    <c:v>0.4</c:v>
                  </c:pt>
                  <c:pt idx="4">
                    <c:v>0.5</c:v>
                  </c:pt>
                  <c:pt idx="5">
                    <c:v>0.18</c:v>
                  </c:pt>
                  <c:pt idx="6">
                    <c:v>0.12855336579903295</c:v>
                  </c:pt>
                </c:numCache>
              </c:numRef>
            </c:plus>
            <c:minus>
              <c:numRef>
                <c:f>Precipitazione!$F$5:$F$11</c:f>
                <c:numCache>
                  <c:formatCode>General</c:formatCode>
                  <c:ptCount val="7"/>
                  <c:pt idx="0">
                    <c:v>1</c:v>
                  </c:pt>
                  <c:pt idx="1">
                    <c:v>0.4</c:v>
                  </c:pt>
                  <c:pt idx="2">
                    <c:v>0.3</c:v>
                  </c:pt>
                  <c:pt idx="3">
                    <c:v>0.4</c:v>
                  </c:pt>
                  <c:pt idx="4">
                    <c:v>0.5</c:v>
                  </c:pt>
                  <c:pt idx="5">
                    <c:v>0.18</c:v>
                  </c:pt>
                  <c:pt idx="6">
                    <c:v>0.12855336579903295</c:v>
                  </c:pt>
                </c:numCache>
              </c:numRef>
            </c:minus>
            <c:spPr>
              <a:noFill/>
              <a:ln w="12700" cap="flat" cmpd="sng" algn="ctr">
                <a:solidFill>
                  <a:srgbClr val="0070C0"/>
                </a:solidFill>
                <a:round/>
              </a:ln>
              <a:effectLst/>
            </c:spPr>
          </c:errBars>
          <c:xVal>
            <c:numRef>
              <c:f>Precipitazione!$D$5:$D$11</c:f>
              <c:numCache>
                <c:formatCode>General</c:formatCode>
                <c:ptCount val="7"/>
                <c:pt idx="0">
                  <c:v>1.5</c:v>
                </c:pt>
                <c:pt idx="1">
                  <c:v>1.7</c:v>
                </c:pt>
                <c:pt idx="2">
                  <c:v>2</c:v>
                </c:pt>
                <c:pt idx="3">
                  <c:v>2.2000000000000002</c:v>
                </c:pt>
                <c:pt idx="4">
                  <c:v>2.5</c:v>
                </c:pt>
                <c:pt idx="5">
                  <c:v>2.8</c:v>
                </c:pt>
                <c:pt idx="6">
                  <c:v>3.3</c:v>
                </c:pt>
              </c:numCache>
            </c:numRef>
          </c:xVal>
          <c:yVal>
            <c:numRef>
              <c:f>Precipitazione!$E$5:$E$11</c:f>
              <c:numCache>
                <c:formatCode>0.00</c:formatCode>
                <c:ptCount val="7"/>
                <c:pt idx="0">
                  <c:v>86.368380807117433</c:v>
                </c:pt>
                <c:pt idx="1">
                  <c:v>94.157877488764612</c:v>
                </c:pt>
                <c:pt idx="2">
                  <c:v>97.154298593269687</c:v>
                </c:pt>
                <c:pt idx="3">
                  <c:v>98.475145484437917</c:v>
                </c:pt>
                <c:pt idx="4">
                  <c:v>99.178924491620421</c:v>
                </c:pt>
                <c:pt idx="5">
                  <c:v>99.38419336871533</c:v>
                </c:pt>
                <c:pt idx="6">
                  <c:v>99.827268814982247</c:v>
                </c:pt>
              </c:numCache>
            </c:numRef>
          </c:yVal>
          <c:smooth val="0"/>
          <c:extLst>
            <c:ext xmlns:c16="http://schemas.microsoft.com/office/drawing/2014/chart" uri="{C3380CC4-5D6E-409C-BE32-E72D297353CC}">
              <c16:uniqueId val="{00000000-7F9E-44D6-AF26-4749682CA829}"/>
            </c:ext>
          </c:extLst>
        </c:ser>
        <c:dLbls>
          <c:showLegendKey val="0"/>
          <c:showVal val="0"/>
          <c:showCatName val="0"/>
          <c:showSerName val="0"/>
          <c:showPercent val="0"/>
          <c:showBubbleSize val="0"/>
        </c:dLbls>
        <c:axId val="1514337791"/>
        <c:axId val="1514321471"/>
      </c:scatterChart>
      <c:valAx>
        <c:axId val="1514337791"/>
        <c:scaling>
          <c:orientation val="minMax"/>
          <c:min val="1"/>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solidFill>
                      <a:sysClr val="windowText" lastClr="000000"/>
                    </a:solidFill>
                  </a:rPr>
                  <a:t>Ca/P  molar ratio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1514321471"/>
        <c:crosses val="autoZero"/>
        <c:crossBetween val="midCat"/>
      </c:valAx>
      <c:valAx>
        <c:axId val="1514321471"/>
        <c:scaling>
          <c:orientation val="minMax"/>
          <c:max val="101"/>
          <c:min val="8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solidFill>
                      <a:sysClr val="windowText" lastClr="000000"/>
                    </a:solidFill>
                  </a:rPr>
                  <a:t>P precipitation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title>
        <c:numFmt formatCode="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it-IT"/>
          </a:p>
        </c:txPr>
        <c:crossAx val="1514337791"/>
        <c:crosses val="autoZero"/>
        <c:crossBetween val="midCat"/>
        <c:majorUnit val="5"/>
      </c:valAx>
      <c:spPr>
        <a:noFill/>
        <a:ln>
          <a:solidFill>
            <a:sysClr val="windowText" lastClr="000000"/>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e"/>
          <w:gallery w:val="placeholder"/>
        </w:category>
        <w:types>
          <w:type w:val="bbPlcHdr"/>
        </w:types>
        <w:behaviors>
          <w:behavior w:val="content"/>
        </w:behaviors>
        <w:guid w:val="{25A5D357-16C0-4DA7-AD9B-A3187DB82AFE}"/>
      </w:docPartPr>
      <w:docPartBody>
        <w:p w:rsidR="00636739" w:rsidRDefault="009353F8">
          <w:r w:rsidRPr="00804D12">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3F8"/>
    <w:rsid w:val="00016936"/>
    <w:rsid w:val="00071CF5"/>
    <w:rsid w:val="002851E3"/>
    <w:rsid w:val="00435A5A"/>
    <w:rsid w:val="00636739"/>
    <w:rsid w:val="006513DC"/>
    <w:rsid w:val="006F4372"/>
    <w:rsid w:val="0071759C"/>
    <w:rsid w:val="007B52A7"/>
    <w:rsid w:val="00860080"/>
    <w:rsid w:val="009353F8"/>
    <w:rsid w:val="00961230"/>
    <w:rsid w:val="00A624D4"/>
    <w:rsid w:val="00BC1AE9"/>
    <w:rsid w:val="00C64FC4"/>
    <w:rsid w:val="00D55EF3"/>
    <w:rsid w:val="00EA2D39"/>
    <w:rsid w:val="00FE14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353F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0F29DB-CBBA-4389-9D69-0E93114F8E71}">
  <we:reference id="WA104382081" version="1.55.1.0" store="Omex" storeType="OMEX"/>
  <we:alternateReferences>
    <we:reference id="WA104382081" version="1.55.1.0" store="WA104382081" storeType="OMEX"/>
  </we:alternateReferences>
  <we:properties>
    <we:property name="MENDELEY_BIBLIOGRAPHY_IS_DIRTY" value="false"/>
    <we:property name="MENDELEY_BIBLIOGRAPHY_LAST_MODIFIED" value="1774794680765"/>
    <we:property name="MENDELEY_CITATIONS" value="[{&quot;citationID&quot;:&quot;MENDELEY_CITATION_f612292b-67ad-4b35-8f62-6f90706808af&quot;,&quot;properties&quot;:{&quot;noteIndex&quot;:0},&quot;isEdited&quot;:false,&quot;manualOverride&quot;:{&quot;isManuallyOverridden&quot;:false,&quot;citeprocText&quot;:&quot;(Volpe et al., 2020)&quot;,&quot;manualOverrideText&quot;:&quot;&quot;},&quot;citationTag&quot;:&quot;MENDELEY_CITATION_v3_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&quot;,&quot;citationItems&quot;:[{&quot;id&quot;:&quot;ba267d08-cb47-3c0e-9bbc-3a5e64975f32&quot;,&quot;itemData&quot;:{&quot;type&quot;:&quot;article-journal&quot;,&quot;id&quot;:&quot;ba267d08-cb47-3c0e-9bbc-3a5e64975f32&quot;,&quot;title&quot;:&quot;Hydrothermal Carbonization as an Efficient Tool for Sewage Sludge Valorization and Phosphorous Recovery&quot;,&quot;author&quot;:[{&quot;family&quot;:&quot;Volpe&quot;,&quot;given&quot;:&quot;M.&quot;,&quot;parse-names&quot;:false,&quot;dropping-particle&quot;:&quot;&quot;,&quot;non-dropping-particle&quot;:&quot;&quot;},{&quot;family&quot;:&quot;Fiori&quot;,&quot;given&quot;:&quot;L.&quot;,&quot;parse-names&quot;:false,&quot;dropping-particle&quot;:&quot;&quot;,&quot;non-dropping-particle&quot;:&quot;&quot;},{&quot;family&quot;:&quot;Merzari&quot;,&quot;given&quot;:&quot;F&quot;,&quot;parse-names&quot;:false,&quot;dropping-particle&quot;:&quot;&quot;,&quot;non-dropping-particle&quot;:&quot;&quot;},{&quot;family&quot;:&quot;Messineo&quot;,&quot;given&quot;:&quot;A.&quot;,&quot;parse-names&quot;:false,&quot;dropping-particle&quot;:&quot;&quot;,&quot;non-dropping-particle&quot;:&quot;&quot;},{&quot;family&quot;:&quot;Andreottola G.&quot;,&quot;given&quot;:&quot;&quot;,&quot;parse-names&quot;:false,&quot;dropping-particle&quot;:&quot;&quot;,&quot;non-dropping-particle&quot;:&quot;&quot;}],&quot;container-title&quot;:&quot;Chemical Engineering Transactions&quot;,&quot;container-title-short&quot;:&quot;Chem. Eng. Trans.&quot;,&quot;issued&quot;:{&quot;date-parts&quot;:[[2020]]},&quot;page&quot;:&quot;199-204&quot;,&quot;volume&quot;:&quot;80&quot;},&quot;isTemporary&quot;:false}]},{&quot;citationID&quot;:&quot;MENDELEY_CITATION_78a12809-897f-4428-876c-b99affb2a36a&quot;,&quot;properties&quot;:{&quot;noteIndex&quot;:0},&quot;isEdited&quot;:false,&quot;manualOverride&quot;:{&quot;isManuallyOverridden&quot;:false,&quot;citeprocText&quot;:&quot;(Boniardi et al., 2021)&quot;,&quot;manualOverrideText&quot;:&quot;&quot;},&quot;citationTag&quot;:&quot;MENDELEY_CITATION_v3_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&quot;,&quot;citationItems&quot;:[{&quot;id&quot;:&quot;dd808909-4be3-34b3-b4b6-cf2b14e5b1bb&quot;,&quot;itemData&quot;:{&quot;type&quot;:&quot;article-journal&quot;,&quot;id&quot;:&quot;dd808909-4be3-34b3-b4b6-cf2b14e5b1bb&quot;,&quot;title&quot;:&quot;Assessment of a simple and replicable procedure for selective phosphorus recovery from sewage sludge ashes by wet chemical extraction and precipitation&quot;,&quot;author&quot;:[{&quot;family&quot;:&quot;Boniardi&quot;,&quot;given&quot;:&quot;Gaia&quot;,&quot;parse-names&quot;:false,&quot;dropping-particle&quot;:&quot;&quot;,&quot;non-dropping-particle&quot;:&quot;&quot;},{&quot;family&quot;:&quot;Turolla&quot;,&quot;given&quot;:&quot;Andrea&quot;,&quot;parse-names&quot;:false,&quot;dropping-particle&quot;:&quot;&quot;,&quot;non-dropping-particle&quot;:&quot;&quot;},{&quot;family&quot;:&quot;Fiameni&quot;,&quot;given&quot;:&quot;Laura&quot;,&quot;parse-names&quot;:false,&quot;dropping-particle&quot;:&quot;&quot;,&quot;non-dropping-particle&quot;:&quot;&quot;},{&quot;family&quot;:&quot;Gelmi&quot;,&quot;given&quot;:&quot;Enrico&quot;,&quot;parse-names&quot;:false,&quot;dropping-particle&quot;:&quot;&quot;,&quot;non-dropping-particle&quot;:&quot;&quot;},{&quot;family&quot;:&quot;Malpei&quot;,&quot;given&quot;:&quot;Francesca&quot;,&quot;parse-names&quot;:false,&quot;dropping-particle&quot;:&quot;&quot;,&quot;non-dropping-particle&quot;:&quot;&quot;},{&quot;family&quot;:&quot;Bontempi&quot;,&quot;given&quot;:&quot;Elza&quot;,&quot;parse-names&quot;:false,&quot;dropping-particle&quot;:&quot;&quot;,&quot;non-dropping-particle&quot;:&quot;&quot;},{&quot;family&quot;:&quot;Canziani&quot;,&quot;given&quot;:&quot;Roberto&quot;,&quot;parse-names&quot;:false,&quot;dropping-particle&quot;:&quot;&quot;,&quot;non-dropping-particle&quot;:&quot;&quot;}],&quot;container-title&quot;:&quot;Chemosphere&quot;,&quot;container-title-short&quot;:&quot;Chemosphere&quot;,&quot;DOI&quot;:&quot;10.1016/j.chemosphere.2021.131476&quot;,&quot;ISSN&quot;:&quot;18791298&quot;,&quot;PMID&quot;:&quot;34265709&quot;,&quot;issued&quot;:{&quot;date-parts&quot;:[[2021,12,1]]},&quot;abstract&quot;:&quot;The selective phosphorus recovery by wet chemical extraction and precipitation was assessed at the laboratory scale aiming at identifying a simple and replicable procedure that could be effectively applied to different types of sewage sludge ashes. The experimental work was performed on five samples of sewage sludge ashes, of which three were obtained from muffle-furnace incineration and two from full-scale mono-incineration plants. A single-step extraction procedure has been investigated by applying different operating conditions (type of leaching acid, liquid-to-solid ratio, contact time). Experimental results indicated that phosphorus recovery efficiency varied between 54 and 92% with limited co-dissolution of metals and metalloids, except for arsenic. Operating conditions, sewage sludge ashes characteristics and phosphorus removal processes in the wastewater treatment plant were the main factors affecting phosphorus recovery efficiency. The application of optimal operating conditions (0.2 M sulfuric acid, liquid-to-solid ratio of 20 and contact time of 2 h) resulted in phosphorus recovery from 76 to 92% on four samples. Subsequently, precipitation of phosphorus from acidic leachate was carried out by lime dosing. After filtering and drying, the recovered products presented a P2O5 content between 11.5 and 36.7% dry weight, with a fraction of soluble phosphorus between 75 and 91%, a good percentage for application as fertilizer or animal feed. Since few undesired elements (i.e., As, Cu and Zn) exceeded the limits for fertilizer application (exception was represented by Ni and Pb, which were present at low concentration), an additional purification step may be required. Overall, experimental results highlighted the influence of process parameters on phosphorus recovery.&quot;,&quot;publisher&quot;:&quot;Elsevier Ltd&quot;,&quot;volume&quot;:&quot;285&quot;},&quot;isTemporary&quot;:false}]},{&quot;citationID&quot;:&quot;MENDELEY_CITATION_79be4fd0-8f8a-46c3-ad7a-9c521ac8dabb&quot;,&quot;properties&quot;:{&quot;noteIndex&quot;:0},&quot;isEdited&quot;:false,&quot;manualOverride&quot;:{&quot;isManuallyOverridden&quot;:false,&quot;citeprocText&quot;:&quot;(Luyckx and Van Caneghem, 2021)&quot;,&quot;manualOverrideText&quot;:&quot;&quot;},&quot;citationTag&quot;:&quot;MENDELEY_CITATION_v3_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&quot;,&quot;citationItems&quot;:[{&quot;id&quot;:&quot;b2a7bffd-1e18-3076-95f1-ceed7cb23da9&quot;,&quot;itemData&quot;:{&quot;type&quot;:&quot;article-journal&quot;,&quot;id&quot;:&quot;b2a7bffd-1e18-3076-95f1-ceed7cb23da9&quot;,&quot;title&quot;:&quot;Recovery of phosphorus from sewage sludge ash: Influence of incineration temperature on ash mineralogy and related phosphorus and heavy metal extraction&quot;,&quot;author&quot;:[{&quot;family&quot;:&quot;Luyckx&quot;,&quot;given&quot;:&quot;Lorien&quot;,&quot;parse-names&quot;:false,&quot;dropping-particle&quot;:&quot;&quot;,&quot;non-dropping-particle&quot;:&quot;&quot;},{&quot;family&quot;:&quot;Caneghem&quot;,&quot;given&quot;:&quot;Jo&quot;,&quot;parse-names&quot;:false,&quot;dropping-particle&quot;:&quot;&quot;,&quot;non-dropping-particle&quot;:&quot;Van&quot;}],&quot;container-title&quot;:&quot;Journal of Environmental Chemical Engineering&quot;,&quot;container-title-short&quot;:&quot;J. Environ. Chem. Eng.&quot;,&quot;DOI&quot;:&quot;10.1016/j.jece.2021.106471&quot;,&quot;ISSN&quot;:&quot;22133437&quot;,&quot;issued&quot;:{&quot;date-parts&quot;:[[2021,12,1]]},&quot;abstract&quot;:&quot;Phosphorus (P) can be effectively recovered from sewage sludge ash (SSA) by applying wet chemical extraction techniques. However, considerable amounts of heavy metals can be co-extracted depending on the type of extraction liquid used. In this study, the influence of the incineration temperature on the ash mineralogy and related P and heavy metal extraction using sulfuric acid, hydrochloric acid, oxalic acid and sodium hydroxide was studied. Results showed that the P extraction efficiency with sodium hydroxide decreased with increasing incineration temperature, related to a decrease in Al/Fe-phosphates in the SSA. Furthermore, P extraction efficiency for the acidic extraction liquids reached a maximum for SSA obtained around 850 °C (&gt; 86% P extracted). Heavy metal co-extraction generally decreased with increasing incineration temperature, which could be linked to the immobilization of the heavy metals in the SSA matrix. For all extraction liquids considered, the lowest heavy metal co-extraction was found in SSA samples obtained at 1000 °C (&lt; 21% total heavy metals extracted). However, the incorporation of P into silicate melt agglomerates at that incineration temperature reduced the P extraction. As a result, an incineration temperature in the range 800 – 850 °C offered a good trade-off between high P extraction and low heavy metal co-extraction.&quot;,&quot;publisher&quot;:&quot;Elsevier Ltd&quot;,&quot;issue&quot;:&quot;6&quot;,&quot;volume&quot;:&quot;9&quot;},&quot;isTemporary&quot;:false}]},{&quot;citationID&quot;:&quot;MENDELEY_CITATION_c469552c-840a-436b-9325-eb0510b18f26&quot;,&quot;properties&quot;:{&quot;noteIndex&quot;:0},&quot;isEdited&quot;:false,&quot;manualOverride&quot;:{&quot;isManuallyOverridden&quot;:false,&quot;citeprocText&quot;:&quot;(Rosa et al., 2025)&quot;,&quot;manualOverrideText&quot;:&quot;&quot;},&quot;citationTag&quot;:&quot;MENDELEY_CITATION_v3_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&quot;,&quot;citationItems&quot;:[{&quot;id&quot;:&quot;536af854-a779-3e04-bf6d-d24aa72a0338&quot;,&quot;itemData&quot;:{&quot;type&quot;:&quot;article-journal&quot;,&quot;id&quot;:&quot;536af854-a779-3e04-bf6d-d24aa72a0338&quot;,&quot;title&quot;:&quot;Lime and pozzolan-based matrices for an efficient immobilization of hazardous waste&quot;,&quot;author&quot;:[{&quot;family&quot;:&quot;Rosa&quot;,&quot;given&quot;:&quot;Domenico&quot;,&quot;parse-names&quot;:false,&quot;dropping-particle&quot;:&quot;&quot;,&quot;non-dropping-particle&quot;:&quot;&quot;},{&quot;family&quot;:&quot;Rizzo&quot;,&quot;given&quot;:&quot;Francesco&quot;,&quot;parse-names&quot;:false,&quot;dropping-particle&quot;:&quot;&quot;,&quot;non-dropping-particle&quot;:&quot;&quot;},{&quot;family&quot;:&quot;Palma&quot;,&quot;given&quot;:&quot;Luca&quot;,&quot;parse-names&quot;:false,&quot;dropping-particle&quot;:&quot;Di&quot;,&quot;non-dropping-particle&quot;:&quot;&quot;}],&quot;container-title&quot;:&quot;Chemical Engineering Science&quot;,&quot;container-title-short&quot;:&quot;Chem. Eng. Sci.&quot;,&quot;DOI&quot;:&quot;10.1016/j.ces.2025.121735&quot;,&quot;ISSN&quot;:&quot;00092509&quot;,&quot;issued&quot;:{&quot;date-parts&quot;:[[2025,7]]},&quot;page&quot;:&quot;121735&quot;,&quot;volume&quot;:&quot;313&quot;},&quot;isTemporary&quot;:false}]},{&quot;citationID&quot;:&quot;MENDELEY_CITATION_a36c159d-cfaf-4ffe-8de6-11881b6e1398&quot;,&quot;properties&quot;:{&quot;noteIndex&quot;:0},&quot;isEdited&quot;:false,&quot;manualOverride&quot;:{&quot;isManuallyOverridden&quot;:false,&quot;citeprocText&quot;:&quot;(Murphy and Riley, 1958)&quot;,&quot;manualOverrideText&quot;:&quot;&quot;},&quot;citationTag&quot;:&quot;MENDELEY_CITATION_v3_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&quot;,&quot;citationItems&quot;:[{&quot;id&quot;:&quot;33aff9a4-5dd4-3b0e-855f-c0b5610cfb3b&quot;,&quot;itemData&quot;:{&quot;type&quot;:&quot;article-journal&quot;,&quot;id&quot;:&quot;33aff9a4-5dd4-3b0e-855f-c0b5610cfb3b&quot;,&quot;title&quot;:&quot;A Single-Solution Method for the Determination of Soluble Phosphate in Sea Water&quot;,&quot;author&quot;:[{&quot;family&quot;:&quot;Murphy&quot;,&quot;given&quot;:&quot;J.&quot;,&quot;parse-names&quot;:false,&quot;dropping-particle&quot;:&quot;&quot;,&quot;non-dropping-particle&quot;:&quot;&quot;},{&quot;family&quot;:&quot;Riley&quot;,&quot;given&quot;:&quot;J. P.&quot;,&quot;parse-names&quot;:false,&quot;dropping-particle&quot;:&quot;&quot;,&quot;non-dropping-particle&quot;:&quot;&quot;}],&quot;container-title&quot;:&quot;Journal of the Marine Biological Association of the United Kingdom&quot;,&quot;DOI&quot;:&quot;https://doi.org/10.3303/CET2080034&quot;,&quot;ISSN&quot;:&quot;0025-3154&quot;,&quot;issued&quot;:{&quot;date-parts&quot;:[[1958,2,11]]},&quot;page&quot;:&quot;9-14&quot;,&quot;abstract&quot;:&quot;&lt;p&gt; It has been found that a reagent containing sulphuric acid, ammonium molybdate and ascorbic acid may be used as a single-solution reagent for the determination of phosphate in sea water. Development of the molybdenum-blue colour is complete in 24 h at room temperature and in 30 min at 60° C; the colour is stable for at least 3 days. Beer's law is obeyed closely up to at least 500 μg PO &lt;sub&gt;4&lt;/sub&gt; &lt;sup&gt;3−&lt;/sup&gt; -P/1. The salt error is approximately 4% with sea water of chlorinity 19·3%. The interference due to either arsenate or silicate at their concentrations in sea water is negligible. &lt;/p&gt;&quot;,&quot;issue&quot;:&quot;1&quot;,&quot;volume&quot;:&quot;37&quot;,&quot;container-title-short&quot;:&quot;&quot;},&quot;isTemporary&quot;:false}]},{&quot;citationID&quot;:&quot;MENDELEY_CITATION_3f853eff-697b-49bd-b841-2f39cd35a34a&quot;,&quot;properties&quot;:{&quot;noteIndex&quot;:0},&quot;isEdited&quot;:false,&quot;manualOverride&quot;:{&quot;isManuallyOverridden&quot;:false,&quot;citeprocText&quot;:&quot;(Boniardi et al., 2024)&quot;,&quot;manualOverrideText&quot;:&quot;&quot;},&quot;citationTag&quot;:&quot;MENDELEY_CITATION_v3_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&quot;,&quot;citationItems&quot;:[{&quot;id&quot;:&quot;58b7022f-77c0-3cbf-81fa-173898282e99&quot;,&quot;itemData&quot;:{&quot;type&quot;:&quot;article-journal&quot;,&quot;id&quot;:&quot;58b7022f-77c0-3cbf-81fa-173898282e99&quot;,&quot;title&quot;:&quot;Assessment of three different approaches for integrating phosphorus recovery from sewage sludge and derived products in existing wastewater treatment plants&quot;,&quot;author&quot;:[{&quot;family&quot;:&quot;Boniardi&quot;,&quot;given&quot;:&quot;Gaia&quot;,&quot;parse-names&quot;:false,&quot;dropping-particle&quot;:&quot;&quot;,&quot;non-dropping-particle&quot;:&quot;&quot;},{&quot;family&quot;:&quot;Close&quot;,&quot;given&quot;:&quot;Kylie&quot;,&quot;parse-names&quot;:false,&quot;dropping-particle&quot;:&quot;&quot;,&quot;non-dropping-particle&quot;:&quot;&quot;},{&quot;family&quot;:&quot;Turolla&quot;,&quot;given&quot;:&quot;Andrea&quot;,&quot;parse-names&quot;:false,&quot;dropping-particle&quot;:&quot;&quot;,&quot;non-dropping-particle&quot;:&quot;&quot;},{&quot;family&quot;:&quot;Canziani&quot;,&quot;given&quot;:&quot;Roberto&quot;,&quot;parse-names&quot;:false,&quot;dropping-particle&quot;:&quot;&quot;,&quot;non-dropping-particle&quot;:&quot;&quot;},{&quot;family&quot;:&quot;Oehmen&quot;,&quot;given&quot;:&quot;Adrian&quot;,&quot;parse-names&quot;:false,&quot;dropping-particle&quot;:&quot;&quot;,&quot;non-dropping-particle&quot;:&quot;&quot;}],&quot;container-title&quot;:&quot;Bioresource Technology&quot;,&quot;container-title-short&quot;:&quot;Bioresour. Technol.&quot;,&quot;DOI&quot;:&quot;10.1016/j.biortech.2024.130822&quot;,&quot;ISSN&quot;:&quot;18732976&quot;,&quot;PMID&quot;:&quot;38729582&quot;,&quot;issued&quot;:{&quot;date-parts&quot;:[[2024,6,1]]},&quot;abstract&quot;:&quot;Three different technological solutions, namely acidogenic fermentation and chemical extraction (alkaline or acidic), followed by precipitation with 1% Ca(OH)2, were investigated in the view of integrating phosphorus recovery into existing wastewater treatment plants. Experiments were conducted at the lab-scale using (i) sludge taken from biologically and chemically promoted phosphorus removal activated sludge processes and (ii) ashes obtained from sludge muffle incineration. Results highlighted the benefits of enhanced biological phosphorus removal (EBPR) systems rather than chemically promoted phosphorus removal in not only phosphorus extraction (up to 40% with EBPR) and recovery directly from secondary sludge (P precipitation between 66 and 92%), but after sludge incineration as well (P extraction up to 96% and precipitation above 96%). Acidogenic fermentation ensured the highest phosphorus release from EBPR sludge (equal to a concentration in solution of 122 mg/L P-PO43−), while the derived ashes had a lower level of metal contamination (particularly Fe and Al content &lt; 2%). The phosphorus-rich product obtained by means of the recovery process showed relevant metal contamination (Cu, Zn, and Ni) under some operating conditions, suggesting the need for further treatments.&quot;,&quot;publisher&quot;:&quot;Elsevier Ltd&quot;,&quot;volume&quot;:&quot;402&quot;},&quot;isTemporary&quot;:false}]},{&quot;citationID&quot;:&quot;MENDELEY_CITATION_efa4e4fd-b919-4543-8205-b91ac6a31b54&quot;,&quot;properties&quot;:{&quot;noteIndex&quot;:0},&quot;isEdited&quot;:false,&quot;manualOverride&quot;:{&quot;isManuallyOverridden&quot;:false,&quot;citeprocText&quot;:&quot;(Bier‐Schorr et al., 2025)&quot;,&quot;manualOverrideText&quot;:&quot;&quot;},&quot;citationTag&quot;:&quot;MENDELEY_CITATION_v3_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&quot;,&quot;citationItems&quot;:[{&quot;id&quot;:&quot;8e573191-fc12-3aab-bbaa-b8ddad3a3977&quot;,&quot;itemData&quot;:{&quot;type&quot;:&quot;article-journal&quot;,&quot;id&quot;:&quot;8e573191-fc12-3aab-bbaa-b8ddad3a3977&quot;,&quot;title&quot;:&quot;Enhancement of the Plant‐Accessible Phosphate Fraction in Sewage Sludge Ashes by Na &lt;sup&gt;+&lt;/sup&gt; or K &lt;sup&gt;+&lt;/sup&gt; Addition Prior to Combustion&quot;,&quot;author&quot;:[{&quot;family&quot;:&quot;Bier‐Schorr&quot;,&quot;given&quot;:&quot;Lorenz&quot;,&quot;parse-names&quot;:false,&quot;dropping-particle&quot;:&quot;&quot;,&quot;non-dropping-particle&quot;:&quot;&quot;},{&quot;family&quot;:&quot;Gräser&quot;,&quot;given&quot;:&quot;Viktoria&quot;,&quot;parse-names&quot;:false,&quot;dropping-particle&quot;:&quot;&quot;,&quot;non-dropping-particle&quot;:&quot;&quot;},{&quot;family&quot;:&quot;Scherer‐Lorenzen&quot;,&quot;given&quot;:&quot;Michael&quot;,&quot;parse-names&quot;:false,&quot;dropping-particle&quot;:&quot;&quot;,&quot;non-dropping-particle&quot;:&quot;&quot;},{&quot;family&quot;:&quot;Hajek&quot;,&quot;given&quot;:&quot;Peter&quot;,&quot;parse-names&quot;:false,&quot;dropping-particle&quot;:&quot;&quot;,&quot;non-dropping-particle&quot;:&quot;&quot;},{&quot;family&quot;:&quot;Kurz&quot;,&quot;given&quot;:&quot;Philipp&quot;,&quot;parse-names&quot;:false,&quot;dropping-particle&quot;:&quot;&quot;,&quot;non-dropping-particle&quot;:&quot;&quot;}],&quot;container-title&quot;:&quot;ChemSusChem&quot;,&quot;container-title-short&quot;:&quot;ChemSusChem&quot;,&quot;DOI&quot;:&quot;10.1002/cssc.202401744&quot;,&quot;ISSN&quot;:&quot;1864-5631&quot;,&quot;issued&quot;:{&quot;date-parts&quot;:[[2025,3,15]]},&quot;abstract&quot;:&quot;&lt;p&gt; With the aim of transforming sewage sludge into a P‐fertiliser material in a single combustion step, the chemical processes underlying sewage sludge combustion were analysed using powder X‐ray diffraction (P‐XRD), infrared spectroscopy (IR), thermogravimetric (TGA) as well as elemental analyses (EA). In addition to the combustion of sewage sludge on its own (“mono‐combustion”), additions of different additives prior to the combustion step were also carried out. Based on the very positive effects of the additives sodium and potassium carbonate on the obtained ashes concerning their phosphate solubilities in neutral ammonium citrate (NAC) solution, sewage sludge combustions after additions of Na &lt;sub&gt;2&lt;/sub&gt; CO &lt;sub&gt;3&lt;/sub&gt; or K &lt;sub&gt;2&lt;/sub&gt; CO &lt;sub&gt;3&lt;/sub&gt; were investigated in detail. We found that these additions altered the main phosphate‐containing product found in the ashes from whitlockite (Ca &lt;sub&gt;9&lt;/sub&gt; (Mg,Fe)(PO &lt;sub&gt;3&lt;/sub&gt; OH)(PO &lt;sub&gt;4&lt;/sub&gt; ) &lt;sub&gt;6&lt;/sub&gt; ), a hardly plant‐accessible species, to other phosphate containing compounds such as buchwaldite (CaNaPO &lt;sub&gt;4&lt;/sub&gt; ), which is known for a long time as a very good P–source for plants. Consecutive greenhouse experiments with maize ( &lt;italic&gt;Zea mays&lt;/italic&gt; L.) as test plant confirmed the results of the chemical analyses and demonstrated that Na‐ or K‐ashes obtained from a “co‐combustion” of sewage sludge mixed with alkali carbonates exhibit relative P‐fertilising efficiencies of up to ~80 % in comparison to commercial superphosphate, making these materials promising surrogate phosphate mineral sources for agricultural production. &lt;/p&gt;&quot;,&quot;issue&quot;:&quot;6&quot;,&quot;volume&quot;:&quot;18&quot;},&quot;isTemporary&quot;:false}]},{&quot;citationID&quot;:&quot;MENDELEY_CITATION_6718283a-0b24-4f77-9999-fac550f40589&quot;,&quot;properties&quot;:{&quot;noteIndex&quot;:0},&quot;isEdited&quot;:false,&quot;manualOverride&quot;:{&quot;isManuallyOverridden&quot;:false,&quot;citeprocText&quot;:&quot;(Yang et al., 2022)&quot;,&quot;manualOverrideText&quot;:&quot;&quot;},&quot;citationTag&quot;:&quot;MENDELEY_CITATION_v3_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&quot;,&quot;citationItems&quot;:[{&quot;id&quot;:&quot;be160a97-9c08-31f3-bad1-0aed896706e3&quot;,&quot;itemData&quot;:{&quot;type&quot;:&quot;article-journal&quot;,&quot;id&quot;:&quot;be160a97-9c08-31f3-bad1-0aed896706e3&quot;,&quot;title&quot;:&quot;Phosphorus recovery from cattle manure bottom ash by extraction and precipitation methods&quot;,&quot;author&quot;:[{&quot;family&quot;:&quot;Yang&quot;,&quot;given&quot;:&quot;Heejin&quot;,&quot;parse-names&quot;:false,&quot;dropping-particle&quot;:&quot;&quot;,&quot;non-dropping-particle&quot;:&quot;&quot;},{&quot;family&quot;:&quot;Kang&quot;,&quot;given&quot;:&quot;Jin-Kyu&quot;,&quot;parse-names&quot;:false,&quot;dropping-particle&quot;:&quot;&quot;,&quot;non-dropping-particle&quot;:&quot;&quot;},{&quot;family&quot;:&quot;Park&quot;,&quot;given&quot;:&quot;Seong-Jik&quot;,&quot;parse-names&quot;:false,&quot;dropping-particle&quot;:&quot;&quot;,&quot;non-dropping-particle&quot;:&quot;&quot;},{&quot;family&quot;:&quot;Lee&quot;,&quot;given&quot;:&quot;Chang-Gu&quot;,&quot;parse-names&quot;:false,&quot;dropping-particle&quot;:&quot;&quot;,&quot;non-dropping-particle&quot;:&quot;&quot;}],&quot;container-title&quot;:&quot;Environmental Science and Pollution Research&quot;,&quot;DOI&quot;:&quot;10.1007/s11356-022-18934-4&quot;,&quot;ISSN&quot;:&quot;0944-1344&quot;,&quot;issued&quot;:{&quot;date-parts&quot;:[[2022,6,1]]},&quot;page&quot;:&quot;39567-39577&quot;,&quot;issue&quot;:&quot;26&quot;,&quot;volume&quot;:&quot;29&quot;,&quot;container-title-short&quot;:&quot;&quot;},&quot;isTemporary&quot;:false}]}]"/>
    <we:property name="MENDELEY_CITATIONS_LOCALE_CODE" value="&quot;en-US&quot;"/>
    <we:property name="MENDELEY_CITATIONS_STYLE" value="{&quot;id&quot;:&quot;https://www.zotero.org/styles/chemical-engineering-science&quot;,&quot;title&quot;:&quot;Chemical Engineering Science&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Pages>
  <Words>2827</Words>
  <Characters>16118</Characters>
  <Application>Microsoft Office Word</Application>
  <DocSecurity>0</DocSecurity>
  <Lines>134</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Domenico Rosa</cp:lastModifiedBy>
  <cp:revision>6</cp:revision>
  <cp:lastPrinted>2015-05-12T18:31:00Z</cp:lastPrinted>
  <dcterms:created xsi:type="dcterms:W3CDTF">2026-05-11T16:21:00Z</dcterms:created>
  <dcterms:modified xsi:type="dcterms:W3CDTF">2026-05-11T17:25:00Z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44066c80-a6e1-4e92-991b-0a201b27c462</vt:lpwstr>
  </property>
</Properties>
</file>